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6" w:rsidRDefault="009359C6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состоянии алкогольного рынка Республики Татарстан</w:t>
      </w:r>
    </w:p>
    <w:p w:rsidR="009359C6" w:rsidRDefault="009359C6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январе - ноябре 2013 года</w:t>
      </w:r>
    </w:p>
    <w:p w:rsidR="009359C6" w:rsidRDefault="009359C6">
      <w:pPr>
        <w:pStyle w:val="NormalWeb"/>
        <w:spacing w:before="120" w:after="0"/>
        <w:ind w:firstLine="709"/>
        <w:jc w:val="both"/>
        <w:rPr>
          <w:i/>
          <w:iCs/>
          <w:sz w:val="28"/>
          <w:szCs w:val="28"/>
        </w:rPr>
      </w:pPr>
    </w:p>
    <w:p w:rsidR="009359C6" w:rsidRDefault="009359C6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9359C6" w:rsidRDefault="009359C6">
      <w:pPr>
        <w:pStyle w:val="BodyTextIndent"/>
        <w:ind w:firstLine="540"/>
        <w:rPr>
          <w:sz w:val="28"/>
          <w:szCs w:val="28"/>
        </w:rPr>
      </w:pPr>
    </w:p>
    <w:p w:rsidR="009359C6" w:rsidRDefault="009359C6">
      <w:pPr>
        <w:pStyle w:val="BodyText2"/>
        <w:spacing w:before="120"/>
        <w:ind w:firstLine="902"/>
      </w:pPr>
      <w:r>
        <w:t>В январе-ноябре 2013 года проинспектировано продукции производства предприятий-изготовителей Республики Татарстан:</w:t>
      </w:r>
    </w:p>
    <w:p w:rsidR="009359C6" w:rsidRDefault="009359C6">
      <w:pPr>
        <w:pStyle w:val="BodyText2"/>
        <w:spacing w:before="120"/>
        <w:ind w:firstLine="902"/>
      </w:pPr>
      <w:r>
        <w:t xml:space="preserve">141,5 тыс. дал (в ноябре – 7,2тыс. дал) этилового спирта; </w:t>
      </w:r>
    </w:p>
    <w:p w:rsidR="009359C6" w:rsidRDefault="009359C6">
      <w:pPr>
        <w:pStyle w:val="BodyText2"/>
        <w:spacing w:before="120"/>
        <w:ind w:firstLine="902"/>
      </w:pPr>
      <w:r>
        <w:t>173,1 тыс. дал алкогольных изделий 230 наименований (в ноябре – 15,1 тыс. дал 10 наименований), в том числе разливаемых по лицензионным договорам.</w:t>
      </w:r>
    </w:p>
    <w:p w:rsidR="009359C6" w:rsidRDefault="009359C6">
      <w:pPr>
        <w:pStyle w:val="BodyText2"/>
        <w:spacing w:before="120"/>
        <w:ind w:firstLine="902"/>
      </w:pPr>
      <w:r>
        <w:t>Кроме того, в январе-ноябре 2013 года проинспектировано 1419,9 тыс. дал ввезенного из-за пределов республики спиртосодержащего сырья для производства алкогольной продукции:</w:t>
      </w:r>
    </w:p>
    <w:p w:rsidR="009359C6" w:rsidRDefault="009359C6">
      <w:pPr>
        <w:pStyle w:val="BodyText2"/>
        <w:spacing w:before="120"/>
        <w:ind w:firstLine="902"/>
      </w:pPr>
      <w:r>
        <w:t>66,3 тыс. дал виноматериалов, ввезенных филиалом ОАО “Татспиртпром” “Винзавод “Казанский”;</w:t>
      </w:r>
    </w:p>
    <w:p w:rsidR="009359C6" w:rsidRDefault="009359C6">
      <w:pPr>
        <w:pStyle w:val="BodyText2"/>
        <w:spacing w:before="120"/>
        <w:ind w:firstLine="902"/>
      </w:pPr>
      <w:r>
        <w:t xml:space="preserve">1353,6 тыс. дал спирта (в ноябре – 278,3 тыс. дал) ввезенного филиалами ОАО “Татспиртпром” “Казанский ЛВЗ”, “Чистопольский ЛВЗ”, “Нижнекамский ЛВЗ” и “Усадский ЛВЗ” из Тульской области (ООО “Зернопродукт”, ООО “Эталон”, ООО “Абсолют””), Республики Северная Осетия-Алания (ООО “ДДД”, ООО “АльянсСпирт”), Ставропольского края (ООО “Казачье”) и Кабардино-Балкарской Республики (ООО “РИАЛ”). </w:t>
      </w:r>
    </w:p>
    <w:p w:rsidR="009359C6" w:rsidRDefault="009359C6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Проверенные в январе-ноябре 2013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9359C6" w:rsidRDefault="009359C6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Госалкогольинспекцией РТ и ее территориальными органами проверено 2521,2 тыс. дал ввезенной алкогольной продукции 5736 наименований, в том числе 334,2 тыс. дал водки 241 наименования.</w:t>
      </w:r>
    </w:p>
    <w:p w:rsidR="009359C6" w:rsidRDefault="009359C6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64,6 тыс. дал или 2,6 % проверенной ввезенной алкогольной продукции.</w:t>
      </w:r>
    </w:p>
    <w:p w:rsidR="009359C6" w:rsidRDefault="009359C6">
      <w:pPr>
        <w:pStyle w:val="BodyText2"/>
        <w:ind w:firstLine="708"/>
      </w:pPr>
      <w:r>
        <w:t xml:space="preserve">Принято на проверку 2975 заявок ввезенной алкогольной продукции, что на 6 % больше, чем за аналогичный период прошлого года (2802 заявки). </w:t>
      </w:r>
      <w:r>
        <w:tab/>
        <w:t>Проверено 24092 партии алкогольной продукции (за 11 месяцев прошлого года – 24558 партий).  Забраковано 814 партий, что составило 3,4% от количества проверенных партий (за аналогичный период прошлого года – 771 партии, что составило 3,1%).</w:t>
      </w:r>
    </w:p>
    <w:p w:rsidR="009359C6" w:rsidRDefault="009359C6">
      <w:pPr>
        <w:pStyle w:val="BodyText2"/>
        <w:spacing w:before="120"/>
        <w:ind w:firstLine="720"/>
      </w:pPr>
      <w:r>
        <w:t xml:space="preserve">C начала 2013 года испытательной лабораторией Госалкогольинспекции Республики Татарстан и подведомственным государственным бюджетным учреждением “Республиканский центр независимой экспертизы и мониторинга потребительского рынка” проведены испытания 16344 образцов этилового спирта, алкогольной и спиртосодержащей продукции (в том числе в ноябре – 1591 образца), а также 118 образцов питьевой воды (в том числе в ноябре – 8 образцов). </w:t>
      </w:r>
    </w:p>
    <w:p w:rsidR="009359C6" w:rsidRDefault="009359C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9C6" w:rsidRDefault="009359C6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9359C6" w:rsidRDefault="009359C6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9359C6" w:rsidRDefault="009359C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январе - ноябре 2013 года Госалкогольинспекцией Республики Татарстан и ее территориальными органами проведены 3143 проверки и расследования, в том числе в сфере оборота алкогольной и спиртосодержащей продукции - 1722. </w:t>
      </w:r>
    </w:p>
    <w:p w:rsidR="009359C6" w:rsidRDefault="009359C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1012 проверок, в том числе с МВД по Республике Татарстан – 648, Управлением Роспотребнадзора по Республике Татарстан  – 7, органами Прокуратуры Республики Татарстан – 340, другими органами – 17.</w:t>
      </w:r>
    </w:p>
    <w:p w:rsidR="009359C6" w:rsidRDefault="009359C6">
      <w:pPr>
        <w:pStyle w:val="BodyText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Нарушения действующего законодательства выявлены в 2368 хозяйствующих субъектах (в том числе в сфере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оборота алкогольной и спиртосодержащей продукции – в 1501). По сравнению с аналогичным периодом 2012 года количество субъектов, у которых выявлены нарушения действующего законодательства, снизилось на 9 %.</w:t>
      </w:r>
    </w:p>
    <w:p w:rsidR="009359C6" w:rsidRDefault="009359C6">
      <w:pPr>
        <w:pStyle w:val="BodyText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выявлено 3044 нарушения (в том числе в ходе контроля за оборотом алкогольной и спиртосодержащей продукции – 1627).</w:t>
      </w:r>
    </w:p>
    <w:p w:rsidR="009359C6" w:rsidRDefault="009359C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аналогичным периодом 2012 года, за 11 месяцев 2013 года количество установленных фактов реализации алкогольной продукции без соответствующей лицензии осталось практически на прежнем уровне (164 факта – в 2013 году, 162 факта – в  2012 году).</w:t>
      </w:r>
    </w:p>
    <w:p w:rsidR="009359C6" w:rsidRDefault="009359C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выявленных фактов реализации продукции с истекшим сроком годности увеличилось незначительно и составило 638 фактов (631 факт – в 2012 году), сумма утилизированной продукции составила порядка 1600 тыс. руб. (по сравнению с 2012 годом увеличение в 1,1 раза).</w:t>
      </w:r>
    </w:p>
    <w:p w:rsidR="009359C6" w:rsidRDefault="009359C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установленных фактов продажи продукции, запрещенной к реализации несовершеннолетним, снизилось в 3,1 раза: в том числе, фактов реализации алкоголя и пива несовершеннолетним – в 3,5 раза, табачных изделий – в 2,4 раза. </w:t>
      </w:r>
    </w:p>
    <w:p w:rsidR="009359C6" w:rsidRDefault="009359C6">
      <w:pPr>
        <w:pStyle w:val="NormalWeb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Выявлено 185 фактов реализации гражданами спиртосодержащей продукции домашней выработки (что в 1,5 раза меньше, чем за 11 месяцев 2012 года). </w:t>
      </w:r>
    </w:p>
    <w:p w:rsidR="009359C6" w:rsidRDefault="009359C6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ноябре 2013 г. мониторинг проведен в 4726 торговых объектах, нарушения ограничения времени продажи алкогольной продукции выявлены в 643 из них. </w:t>
      </w:r>
    </w:p>
    <w:p w:rsidR="009359C6" w:rsidRDefault="009359C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9359C6" w:rsidRDefault="009359C6">
      <w:pPr>
        <w:ind w:right="-1" w:firstLine="567"/>
        <w:jc w:val="both"/>
        <w:rPr>
          <w:sz w:val="28"/>
          <w:szCs w:val="28"/>
        </w:rPr>
      </w:pPr>
    </w:p>
    <w:p w:rsidR="009359C6" w:rsidRDefault="009359C6">
      <w:pPr>
        <w:ind w:right="-1" w:firstLine="567"/>
        <w:jc w:val="both"/>
        <w:rPr>
          <w:sz w:val="28"/>
          <w:szCs w:val="28"/>
        </w:rPr>
      </w:pPr>
    </w:p>
    <w:p w:rsidR="009359C6" w:rsidRDefault="009359C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9359C6" w:rsidRDefault="009359C6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9359C6" w:rsidRDefault="009359C6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2013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1705  дел, в том числе по нарушениям в области производства и оборота алкогольной и спиртосодержащей продукции –1091. </w:t>
      </w:r>
    </w:p>
    <w:p w:rsidR="009359C6" w:rsidRDefault="009359C6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1781 делу, в том числе о нарушениях в области производства и оборота алкогольной и спиртосодержащей продукции – 1080.</w:t>
      </w:r>
    </w:p>
    <w:p w:rsidR="009359C6" w:rsidRDefault="009359C6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6971,6 тыс. рублей, в том числе за нарушения в области производства и оборота алкогольной и спиртосодержащей продукции – 5858,3 тыс. руб. </w:t>
      </w:r>
    </w:p>
    <w:p w:rsidR="009359C6" w:rsidRDefault="009359C6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2013 года поступило на рассмотрение 176 дел об административных правонарушениях по КоАП РТ. По поступившим материалам вынесено 176 решений, наложено штрафов на сумму 563,5 тыс. руб. </w:t>
      </w:r>
    </w:p>
    <w:p w:rsidR="009359C6" w:rsidRDefault="009359C6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2013 года всего изъято, конфисковано и обращено в собственность государства 15629,3 л. алкогольной и спиртосодержащей продукции. </w:t>
      </w:r>
    </w:p>
    <w:p w:rsidR="009359C6" w:rsidRDefault="009359C6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 порядка 1,6 млн. рублей, которая утилизирована в установленном порядке.</w:t>
      </w:r>
    </w:p>
    <w:p w:rsidR="009359C6" w:rsidRDefault="009359C6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2013 году Межведомственной комиссией были рассмотрены 228 материалов, из них 209 материалов (659 дал) представлены Госалкогольинспекцией Республики Татарстан и ее территориальными органами, 1 материал (51,0 дал) - органами МВД по Республике Татарстан, 18 материалов (65,1 дал) ТУ Росимущества по РТ, по которым принято решение об уничтожении </w:t>
      </w:r>
      <w:r>
        <w:rPr>
          <w:sz w:val="28"/>
          <w:szCs w:val="28"/>
        </w:rPr>
        <w:t>изъятой из незаконного оборота и конфискованной алкогольной и спиртосодержащей продукции</w:t>
      </w:r>
      <w:r>
        <w:rPr>
          <w:rFonts w:eastAsia="Arial Unicode MS"/>
          <w:sz w:val="28"/>
          <w:szCs w:val="28"/>
        </w:rPr>
        <w:t xml:space="preserve"> в общем объеме 775,1</w:t>
      </w:r>
      <w:r>
        <w:rPr>
          <w:sz w:val="28"/>
          <w:szCs w:val="28"/>
        </w:rPr>
        <w:t xml:space="preserve"> дал.  </w:t>
      </w:r>
    </w:p>
    <w:p w:rsidR="009359C6" w:rsidRDefault="009359C6">
      <w:pPr>
        <w:pStyle w:val="BodyTextIndent2"/>
        <w:ind w:right="1" w:firstLine="540"/>
        <w:rPr>
          <w:sz w:val="28"/>
          <w:szCs w:val="28"/>
        </w:rPr>
      </w:pPr>
      <w:r>
        <w:rPr>
          <w:sz w:val="28"/>
          <w:szCs w:val="28"/>
        </w:rPr>
        <w:t>Из общего количества направленной на уничтожение алкогольной и спиртосодержащей продукции, алкогольная продукция составляет 742,1 дал (95,7 % от общего количества), спиртосодержащая продукция – 29,9 дал (3,9 %), самогон – 3 дал (0,4 %).</w:t>
      </w:r>
    </w:p>
    <w:p w:rsidR="009359C6" w:rsidRDefault="009359C6">
      <w:pPr>
        <w:pStyle w:val="BodyTextIndent2"/>
        <w:ind w:right="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состоянию на 01.12.2013 г. Госалкогольинспекцией Республики Татарстан и уполномоченными органами </w:t>
      </w:r>
      <w:r>
        <w:rPr>
          <w:rFonts w:eastAsia="Arial Unicode MS"/>
          <w:sz w:val="28"/>
          <w:szCs w:val="28"/>
          <w:u w:val="single"/>
        </w:rPr>
        <w:t>уничтожено</w:t>
      </w:r>
      <w:r>
        <w:rPr>
          <w:rFonts w:eastAsia="Arial Unicode MS"/>
          <w:sz w:val="28"/>
          <w:szCs w:val="28"/>
        </w:rPr>
        <w:t xml:space="preserve"> – 710 дал.</w:t>
      </w:r>
    </w:p>
    <w:p w:rsidR="009359C6" w:rsidRDefault="009359C6">
      <w:pPr>
        <w:pStyle w:val="BodyTextIndent2"/>
        <w:ind w:right="1" w:firstLine="0"/>
        <w:rPr>
          <w:color w:val="FF0000"/>
        </w:rPr>
      </w:pPr>
    </w:p>
    <w:p w:rsidR="009359C6" w:rsidRDefault="009359C6">
      <w:pPr>
        <w:jc w:val="center"/>
        <w:rPr>
          <w:b/>
          <w:bCs/>
          <w:i/>
          <w:iCs/>
          <w:sz w:val="28"/>
          <w:szCs w:val="28"/>
        </w:rPr>
      </w:pPr>
    </w:p>
    <w:p w:rsidR="009359C6" w:rsidRDefault="009359C6">
      <w:pPr>
        <w:jc w:val="center"/>
        <w:rPr>
          <w:b/>
          <w:bCs/>
          <w:i/>
          <w:iCs/>
          <w:sz w:val="28"/>
          <w:szCs w:val="28"/>
        </w:rPr>
      </w:pPr>
    </w:p>
    <w:p w:rsidR="009359C6" w:rsidRDefault="009359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9359C6" w:rsidRDefault="009359C6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9359C6" w:rsidRDefault="009359C6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9359C6" w:rsidRDefault="009359C6">
      <w:pPr>
        <w:pStyle w:val="BodyText21"/>
        <w:spacing w:before="0"/>
        <w:ind w:firstLine="567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В целях </w:t>
      </w:r>
      <w:r>
        <w:rPr>
          <w:color w:val="000000"/>
        </w:rPr>
        <w:t>информирования населения о потребительских свойствах рыбных консервов и пресервов, реализуемых на потребительском рынке республики, привития навыков грамотного выбора в пользу качественных и безопасных товаров 15 ноября</w:t>
      </w:r>
      <w:r>
        <w:rPr>
          <w:rFonts w:eastAsia="Arial Unicode MS"/>
          <w:color w:val="000000"/>
        </w:rPr>
        <w:t xml:space="preserve"> 2013г. в Госалкогольинспекции Республики Татарстан проведена потребительская дегустация </w:t>
      </w:r>
      <w:r>
        <w:rPr>
          <w:color w:val="000000"/>
        </w:rPr>
        <w:t>рыбных консервов и пресервов</w:t>
      </w:r>
      <w:r>
        <w:rPr>
          <w:rFonts w:eastAsia="Arial Unicode MS"/>
          <w:color w:val="000000"/>
        </w:rPr>
        <w:t>. В ходе дегустации оценено качество 15 наименований рыбных продуктов. По выявленным в ходе лабораторных исследований нарушениям материалы направлены в Управление Роспотребнадзора по Республике Татарстан для принятия мер административного воздействия.</w:t>
      </w:r>
    </w:p>
    <w:p w:rsidR="009359C6" w:rsidRDefault="009359C6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январь-ноябрь 2013 года проведено 894 приема граждан (в т.ч. в ноябре - 82). О</w:t>
      </w:r>
      <w:r>
        <w:rPr>
          <w:sz w:val="28"/>
          <w:szCs w:val="28"/>
        </w:rPr>
        <w:t>существлено 19 видео-приемов руководством Госалкогольинспекции Республики Татарстан, в ходе которых  принято 104 человека.</w:t>
      </w:r>
    </w:p>
    <w:p w:rsidR="009359C6" w:rsidRDefault="009359C6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2558 мероприятий, направленных на повышение потребительской грамотности населения (в т.ч. в ноябре - 249), а также 1166 мероприятий для хозяйствующих субъектов (в т.ч. в ноябре - 100). Опубликовано 2350 материалов  в средствах массовой информации (в т.ч. в ноябре - 179).  </w:t>
      </w:r>
    </w:p>
    <w:p w:rsidR="009359C6" w:rsidRDefault="009359C6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Состоялся 3 этап республиканской олимпиады для учащихся средних учебных заведений по теме “Защита прав потребителей”. Приняло участие более 500 школьников со всей республики. </w:t>
      </w:r>
    </w:p>
    <w:p w:rsidR="009359C6" w:rsidRDefault="009359C6">
      <w:pPr>
        <w:pStyle w:val="210"/>
        <w:spacing w:before="0"/>
        <w:ind w:firstLine="540"/>
      </w:pPr>
      <w:r>
        <w:t xml:space="preserve">Рассмотрено 20399 </w:t>
      </w:r>
      <w:r>
        <w:rPr>
          <w:rFonts w:eastAsia="Arial Unicode MS"/>
        </w:rPr>
        <w:t>обращений граждан (в т.ч. в ноябре - 1785),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из них 85,7% - в сфере торговли; 8,6% – бытовых услуг; 1,2% – жилищно-коммунальных услуг; 4,5% – прочих услуг.</w:t>
      </w:r>
      <w:r>
        <w:t xml:space="preserve"> 87,5% обращений решено в пользу потребителей в досудебном порядке.</w:t>
      </w:r>
    </w:p>
    <w:p w:rsidR="009359C6" w:rsidRDefault="009359C6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1005 претензий </w:t>
      </w:r>
      <w:r>
        <w:rPr>
          <w:rFonts w:eastAsia="Arial Unicode MS"/>
          <w:sz w:val="28"/>
          <w:szCs w:val="28"/>
        </w:rPr>
        <w:t>(в т.ч. в ноябре - 110)</w:t>
      </w:r>
      <w:r>
        <w:rPr>
          <w:sz w:val="28"/>
          <w:szCs w:val="28"/>
        </w:rPr>
        <w:t xml:space="preserve">, 192 проектов исковых заявлений </w:t>
      </w:r>
      <w:r>
        <w:rPr>
          <w:rFonts w:eastAsia="Arial Unicode MS"/>
          <w:sz w:val="28"/>
          <w:szCs w:val="28"/>
        </w:rPr>
        <w:t>(в т.ч. в ноябре - 16)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9359C6" w:rsidRDefault="009359C6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177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ноябре – 13)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11 месяцев 2013 года иски 80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ноябре - 5)</w:t>
      </w:r>
      <w:r>
        <w:rPr>
          <w:sz w:val="28"/>
          <w:szCs w:val="28"/>
        </w:rPr>
        <w:t xml:space="preserve"> на сумму 6381,99 тыс.рублей </w:t>
      </w:r>
      <w:r>
        <w:rPr>
          <w:rFonts w:eastAsia="Arial Unicode MS"/>
          <w:sz w:val="28"/>
          <w:szCs w:val="28"/>
        </w:rPr>
        <w:t>(в т.ч. в ноябре – 152,47 тыс. руб.)</w:t>
      </w:r>
      <w:r>
        <w:rPr>
          <w:sz w:val="28"/>
          <w:szCs w:val="28"/>
        </w:rPr>
        <w:t xml:space="preserve">. </w:t>
      </w:r>
    </w:p>
    <w:p w:rsidR="009359C6" w:rsidRDefault="009359C6">
      <w:pPr>
        <w:pStyle w:val="BodyText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(в разрезе районов) за январь-ноябрь 2013 г. прилагаются. </w:t>
      </w:r>
    </w:p>
    <w:p w:rsidR="009359C6" w:rsidRDefault="009359C6">
      <w:pPr>
        <w:pStyle w:val="BodyText"/>
        <w:ind w:firstLine="540"/>
        <w:rPr>
          <w:b/>
          <w:bCs/>
          <w:i/>
          <w:iCs/>
          <w:sz w:val="28"/>
          <w:szCs w:val="28"/>
        </w:rPr>
      </w:pPr>
    </w:p>
    <w:p w:rsidR="009359C6" w:rsidRDefault="009359C6">
      <w:pPr>
        <w:pStyle w:val="BodyText"/>
        <w:spacing w:before="120"/>
        <w:ind w:firstLine="709"/>
        <w:rPr>
          <w:i/>
          <w:iCs/>
          <w:sz w:val="28"/>
          <w:szCs w:val="28"/>
        </w:rPr>
      </w:pPr>
    </w:p>
    <w:p w:rsidR="009359C6" w:rsidRDefault="009359C6">
      <w:pPr>
        <w:pStyle w:val="BodyText"/>
        <w:ind w:firstLine="540"/>
        <w:jc w:val="center"/>
        <w:rPr>
          <w:rFonts w:eastAsia="Arial Unicode MS"/>
          <w:i/>
          <w:iCs/>
          <w:sz w:val="28"/>
          <w:szCs w:val="28"/>
        </w:rPr>
      </w:pPr>
      <w:r>
        <w:rPr>
          <w:rFonts w:eastAsia="Arial Unicode MS"/>
          <w:i/>
          <w:iCs/>
          <w:sz w:val="28"/>
          <w:szCs w:val="28"/>
        </w:rPr>
        <w:t>_________________________</w:t>
      </w:r>
    </w:p>
    <w:sectPr w:rsidR="009359C6" w:rsidSect="009359C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C6" w:rsidRDefault="009359C6">
      <w:r>
        <w:separator/>
      </w:r>
    </w:p>
  </w:endnote>
  <w:endnote w:type="continuationSeparator" w:id="0">
    <w:p w:rsidR="009359C6" w:rsidRDefault="0093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C6" w:rsidRDefault="009359C6">
      <w:r>
        <w:separator/>
      </w:r>
    </w:p>
  </w:footnote>
  <w:footnote w:type="continuationSeparator" w:id="0">
    <w:p w:rsidR="009359C6" w:rsidRDefault="0093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6" w:rsidRDefault="009359C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59C6" w:rsidRDefault="009359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C6"/>
    <w:rsid w:val="0093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uiPriority w:val="99"/>
    <w:rPr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rPr>
      <w:sz w:val="24"/>
      <w:szCs w:val="24"/>
      <w:lang w:val="en-US"/>
    </w:rPr>
  </w:style>
  <w:style w:type="character" w:customStyle="1" w:styleId="3">
    <w:name w:val="Знак Знак3"/>
    <w:basedOn w:val="DefaultParagraphFont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uiPriority w:val="99"/>
    <w:rPr>
      <w:sz w:val="24"/>
      <w:szCs w:val="24"/>
    </w:rPr>
  </w:style>
  <w:style w:type="character" w:customStyle="1" w:styleId="20">
    <w:name w:val="Знак Знак2"/>
    <w:basedOn w:val="DefaultParagraphFont"/>
    <w:uiPriority w:val="99"/>
    <w:rPr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pPr>
      <w:widowControl w:val="0"/>
    </w:pPr>
  </w:style>
  <w:style w:type="paragraph" w:customStyle="1" w:styleId="H5">
    <w:name w:val="H5"/>
    <w:basedOn w:val="Normal"/>
    <w:next w:val="Normal"/>
    <w:uiPriority w:val="99"/>
    <w:pPr>
      <w:keepNext/>
      <w:widowControl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pPr>
      <w:keepNext/>
      <w:jc w:val="center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next w:val="Normal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basedOn w:val="Normal"/>
    <w:uiPriority w:val="99"/>
    <w:pPr>
      <w:spacing w:before="100" w:after="100"/>
    </w:p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next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basedOn w:val="Normal"/>
    <w:uiPriority w:val="99"/>
    <w:pPr>
      <w:widowControl w:val="0"/>
      <w:jc w:val="center"/>
    </w:pPr>
  </w:style>
  <w:style w:type="paragraph" w:customStyle="1" w:styleId="210">
    <w:name w:val="Основной текст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customStyle="1" w:styleId="Web">
    <w:name w:val="Обычный (Web)"/>
    <w:basedOn w:val="Normal"/>
    <w:uiPriority w:val="99"/>
    <w:pPr>
      <w:spacing w:before="100" w:after="100"/>
    </w:pPr>
  </w:style>
  <w:style w:type="paragraph" w:customStyle="1" w:styleId="caaieiaie1">
    <w:name w:val="caaieiaie 1"/>
    <w:basedOn w:val="Normal"/>
    <w:next w:val="Normal"/>
    <w:uiPriority w:val="99"/>
    <w:pPr>
      <w:keepNext/>
      <w:jc w:val="center"/>
    </w:pPr>
  </w:style>
  <w:style w:type="character" w:customStyle="1" w:styleId="a1">
    <w:name w:val="Знак Знак"/>
    <w:basedOn w:val="DefaultParagraphFont"/>
    <w:uiPriority w:val="99"/>
    <w:rPr>
      <w:sz w:val="24"/>
      <w:szCs w:val="24"/>
      <w:lang w:val="en-US"/>
    </w:rPr>
  </w:style>
  <w:style w:type="paragraph" w:customStyle="1" w:styleId="BodyText211">
    <w:name w:val="Body Text 21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10">
    <w:name w:val="Знак Знак1"/>
    <w:basedOn w:val="DefaultParagraphFon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basedOn w:val="Normal"/>
    <w:uiPriority w:val="99"/>
    <w:pPr>
      <w:spacing w:before="100" w:after="100"/>
    </w:pPr>
  </w:style>
  <w:style w:type="paragraph" w:customStyle="1" w:styleId="30">
    <w:name w:val="заголовок 3"/>
    <w:basedOn w:val="Normal"/>
    <w:next w:val="Normal"/>
    <w:uiPriority w:val="99"/>
    <w:pPr>
      <w:keepNext/>
      <w:jc w:val="center"/>
    </w:pPr>
    <w:rPr>
      <w:b/>
      <w:bCs/>
      <w:i/>
      <w:iCs/>
    </w:rPr>
  </w:style>
  <w:style w:type="paragraph" w:customStyle="1" w:styleId="a2">
    <w:name w:val="Обычный (веб)"/>
    <w:basedOn w:val="Normal"/>
    <w:uiPriority w:val="99"/>
    <w:pPr>
      <w:spacing w:before="100" w:after="100"/>
      <w:ind w:firstLine="720"/>
      <w:jc w:val="both"/>
    </w:pPr>
  </w:style>
  <w:style w:type="paragraph" w:customStyle="1" w:styleId="z-">
    <w:name w:val="z-Начало формы"/>
    <w:basedOn w:val="Normal"/>
    <w:next w:val="Normal"/>
    <w:hidden/>
    <w:uiPriority w:val="99"/>
    <w:pPr>
      <w:pBdr>
        <w:bottom w:val="single" w:sz="6" w:space="1" w:color="auto"/>
      </w:pBdr>
      <w:spacing w:before="120"/>
      <w:ind w:firstLine="720"/>
      <w:jc w:val="center"/>
    </w:pPr>
    <w:rPr>
      <w:vanish/>
      <w:sz w:val="16"/>
      <w:szCs w:val="16"/>
    </w:rPr>
  </w:style>
  <w:style w:type="paragraph" w:customStyle="1" w:styleId="z-0">
    <w:name w:val="z-Конец формы"/>
    <w:basedOn w:val="Normal"/>
    <w:next w:val="Normal"/>
    <w:hidden/>
    <w:uiPriority w:val="99"/>
    <w:pPr>
      <w:pBdr>
        <w:top w:val="single" w:sz="6" w:space="1" w:color="auto"/>
      </w:pBdr>
      <w:spacing w:before="120"/>
      <w:ind w:firstLine="720"/>
      <w:jc w:val="center"/>
    </w:pPr>
    <w:rPr>
      <w:vanish/>
      <w:sz w:val="16"/>
      <w:szCs w:val="16"/>
    </w:rPr>
  </w:style>
  <w:style w:type="character" w:customStyle="1" w:styleId="4">
    <w:name w:val="Знак Знак4"/>
    <w:basedOn w:val="DefaultParagraphFont"/>
    <w:uiPriority w:val="99"/>
    <w:rPr>
      <w:sz w:val="24"/>
      <w:szCs w:val="24"/>
      <w:lang w:val="en-US"/>
    </w:rPr>
  </w:style>
  <w:style w:type="paragraph" w:customStyle="1" w:styleId="a3">
    <w:name w:val="Текст выноски"/>
    <w:basedOn w:val="Normal"/>
    <w:uiPriority w:val="99"/>
    <w:pPr>
      <w:spacing w:before="120"/>
      <w:ind w:firstLine="720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1398</Words>
  <Characters>7973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2013-11-14T11:26:00Z</cp:lastPrinted>
  <dcterms:created xsi:type="dcterms:W3CDTF">2014-03-18T13:18:00Z</dcterms:created>
  <dcterms:modified xsi:type="dcterms:W3CDTF">2014-03-18T13:18:00Z</dcterms:modified>
</cp:coreProperties>
</file>