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EB" w:rsidRDefault="001057EB">
      <w:pPr>
        <w:pStyle w:val="Heading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 состоянии производства и оборота </w:t>
      </w:r>
    </w:p>
    <w:p w:rsidR="001057EB" w:rsidRDefault="001057EB">
      <w:pPr>
        <w:pStyle w:val="Heading1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этилового спирта и алкогольной продукции в Республике Татарстан</w:t>
      </w:r>
    </w:p>
    <w:p w:rsidR="001057EB" w:rsidRDefault="001057EB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и мерах по обеспечению государственного контроля,</w:t>
      </w:r>
    </w:p>
    <w:p w:rsidR="001057EB" w:rsidRDefault="001057EB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принятых в этой сфере Госалкогольинспекцией Республики Татарстан</w:t>
      </w:r>
    </w:p>
    <w:p w:rsidR="001057EB" w:rsidRDefault="001057EB">
      <w:pPr>
        <w:jc w:val="center"/>
        <w:rPr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в 2013 году</w:t>
      </w:r>
    </w:p>
    <w:p w:rsidR="001057EB" w:rsidRDefault="001057EB">
      <w:pPr>
        <w:ind w:left="360"/>
        <w:jc w:val="both"/>
        <w:rPr>
          <w:b/>
          <w:bCs/>
          <w:sz w:val="28"/>
          <w:szCs w:val="28"/>
        </w:rPr>
      </w:pPr>
    </w:p>
    <w:p w:rsidR="001057EB" w:rsidRDefault="001057EB">
      <w:pPr>
        <w:jc w:val="both"/>
        <w:rPr>
          <w:b/>
          <w:bCs/>
          <w:sz w:val="28"/>
          <w:szCs w:val="28"/>
        </w:rPr>
      </w:pPr>
    </w:p>
    <w:p w:rsidR="001057EB" w:rsidRDefault="001057EB">
      <w:pPr>
        <w:pStyle w:val="BodyText"/>
      </w:pPr>
      <w:r>
        <w:t>Контроль за производством и качеством спирта и алкогольной</w:t>
      </w:r>
    </w:p>
    <w:p w:rsidR="001057EB" w:rsidRDefault="001057EB">
      <w:pPr>
        <w:pStyle w:val="BodyText"/>
        <w:rPr>
          <w:i/>
          <w:iCs/>
        </w:rPr>
      </w:pPr>
      <w:r>
        <w:t xml:space="preserve"> продукции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проверено следующая продукция производства предприятий-изготовителей Республики Татарстан: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141,5 тыс. дал этилового спирта, что на 30 % меньше, чем в 2012 году (203,3 тыс. дал); </w:t>
      </w:r>
    </w:p>
    <w:p w:rsidR="001057EB" w:rsidRDefault="0010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202,3 тыс. дал алкогольных изделий, в том числе разливаемых по лицензионным договорам, что на 27 % больше, чем в 2012 году (159,4 тыс. дал).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2013 году проинспектировано 1749,4 тыс. дал сырья, ввезенного из-за пределов республики  для производства алкогольной продукции: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84,5 тыс. дал виноматериалов, для нужд филиала  ОАО “Татспиртпром” “Винзавод “Казанский”, что на 37 % меньше, чем в 2012 году (134,4 тыс. дал);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1664,9 тыс. дал спирта, что в 3,8 раза больше, чем в 2012 году (442,7 тыс. дал).</w:t>
      </w:r>
    </w:p>
    <w:p w:rsidR="001057EB" w:rsidRDefault="001057EB">
      <w:pPr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 4</w:t>
      </w:r>
    </w:p>
    <w:p w:rsidR="001057EB" w:rsidRDefault="001057EB">
      <w:pPr>
        <w:jc w:val="right"/>
        <w:rPr>
          <w:sz w:val="28"/>
          <w:szCs w:val="28"/>
        </w:rPr>
      </w:pPr>
    </w:p>
    <w:p w:rsidR="001057EB" w:rsidRDefault="001057E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Объемы проверенных в 2013 году </w:t>
      </w:r>
      <w:r>
        <w:rPr>
          <w:i/>
          <w:iCs/>
          <w:sz w:val="28"/>
          <w:szCs w:val="28"/>
        </w:rPr>
        <w:br/>
        <w:t>алкогольной продукции производства Республики Татарстан,</w:t>
      </w:r>
    </w:p>
    <w:p w:rsidR="001057EB" w:rsidRDefault="001057E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спирта и спиртосодержащего сырья (тыс. дал)</w:t>
      </w:r>
    </w:p>
    <w:p w:rsidR="001057EB" w:rsidRDefault="001057EB">
      <w:pPr>
        <w:jc w:val="center"/>
        <w:rPr>
          <w:i/>
          <w:iCs/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469.6pt;height:216.9pt;z-index:251658240;visibility:visible;mso-position-horizontal-relative:text;mso-position-vertical-relative:text" o:allowincell="f">
            <v:imagedata r:id="rId7" o:title=""/>
            <w10:anchorlock/>
          </v:shape>
        </w:pict>
      </w:r>
      <w:r>
        <w:rPr>
          <w:noProof/>
          <w:sz w:val="28"/>
          <w:szCs w:val="28"/>
        </w:rPr>
        <w:t>01</w:t>
      </w:r>
      <w:r>
        <w:rPr>
          <w:sz w:val="20"/>
          <w:szCs w:val="20"/>
        </w:rPr>
        <w:pict>
          <v:shape id="_x0000_i1025" type="#_x0000_t75" style="width:468.75pt;height:3in" fillcolor="window">
            <v:imagedata r:id="rId8" o:title="" croptop="15f" cropbottom="65521f"/>
            <o:lock v:ext="edit" rotation="t" position="t"/>
          </v:shape>
        </w:pic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 в  Республику  Татарстан ввозился  спирт из Тульской области (ООО “Зернопродукт”, ООО “Эталон”, ООО “Абсолют””),  Республики Северная Осетия-Алания (ООО “ДДД”,  ООО “АльянсСпирт”,  ООО “Миранда”,  ООО “Престиж”), Ставропольского края (ООО “Казачье”)  и  Кабардино - Балкарской  Республики   (ООО “РИАЛ”).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Проверенные в 2013 году этиловый спирт и алкогольная продукция производства республики, ввезенное спиртосодержащее сырьё и этиловый спирт соответствовали установленным требованиям.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ОАО “Татспиртпром” продолжена работа по изменению ассортимента выпускаемой продукции. На Нижнекамском ЛВЗ  возобновлено производство  популярной водки “Голубое озеро”, на Казанском ЛВЗ начато производство горьких  настоек  “Граф Ледофф с ароматом черной смородины” и “Граф Ледофф с ароматом клюквы”, на “Винзаводе “Казанский” вкусами мохито и клубники расширена линейка винных напитков “Лавмикс”.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Появилась новая продукция – линейка столовых вин “Секрет Клеопатры”,  водки  “Старая Казань Премиум”, “Хлебная мягкая”, коньяк</w:t>
      </w:r>
      <w:r>
        <w:rPr>
          <w:rFonts w:eastAsia="Arial Unicode MS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“Старая Казань КВ”.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ряда наименований изменился дизайн этикеток  и бутылок. </w:t>
      </w:r>
    </w:p>
    <w:p w:rsidR="001057EB" w:rsidRDefault="001057EB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ab/>
        <w:t xml:space="preserve">В 2013 году на филиалах ОАО “Татспиртпром” продолжено производство лицензионной продукции. Всего в портфеле брендов ОАО “Татспиртпром” более 100 наименований, </w:t>
      </w:r>
      <w:r>
        <w:rPr>
          <w:sz w:val="28"/>
          <w:szCs w:val="28"/>
        </w:rPr>
        <w:t xml:space="preserve">это такие известные наименования как “Мороз и солнце”  “Флагман”, “Немирофф”, “Казенка”, “Дрова”  и др.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Заключены лицензионные соглашения с компаниями ООО  “Торговый дом “Немирофф”,  ООО “ФИНКОНСАЛТ”, ООО “Восточно-Европейская дистрибьютерская компания”  и др.</w:t>
      </w:r>
    </w:p>
    <w:p w:rsidR="001057EB" w:rsidRDefault="0010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На Усадском ЛВЗ  продолжен  розлив водок Республики Казахстан (“Спецрозлив Люкс”, “Спецрозлив Экстра”).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наметился  перекос в пользу лицензионной продукции – если уровень производства местных брендов в 2013 году остался примерно на прежнем уровне по сравнению с 2012 годом, то производство лицензионных брендов выросло почти в 2 раза.</w:t>
      </w:r>
    </w:p>
    <w:p w:rsidR="001057EB" w:rsidRDefault="001057E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Диаграмма № 5</w:t>
      </w:r>
    </w:p>
    <w:p w:rsidR="001057EB" w:rsidRDefault="001057EB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Производство водок </w:t>
      </w:r>
      <w:r>
        <w:rPr>
          <w:i/>
          <w:iCs/>
          <w:sz w:val="28"/>
          <w:szCs w:val="28"/>
        </w:rPr>
        <w:br/>
        <w:t xml:space="preserve">республиканских   и  лицензионных брендов </w:t>
      </w:r>
      <w:r>
        <w:rPr>
          <w:i/>
          <w:iCs/>
          <w:sz w:val="28"/>
          <w:szCs w:val="28"/>
        </w:rPr>
        <w:br/>
        <w:t>в 2012 – 2013 годах</w:t>
      </w:r>
      <w:r>
        <w:rPr>
          <w:noProof/>
        </w:rPr>
        <w:pict>
          <v:shape id="Рисунок 3" o:spid="_x0000_s1027" type="#_x0000_t75" style="position:absolute;left:0;text-align:left;margin-left:25.65pt;margin-top:18.6pt;width:430.5pt;height:220.05pt;z-index:251659264;visibility:visible;mso-position-horizontal-relative:text;mso-position-vertical-relative:text" o:allowincell="f">
            <v:imagedata r:id="rId9" o:title=""/>
            <w10:anchorlock/>
          </v:shape>
        </w:pic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базу данных Госалкогольинспекции РТ была внесена и актуализирована  информация о более чем 100 наименованиях водок и алкогольной продукции местного производства. Проводилась активная работа по экспертизе этикеток выпускаемой в республике алкогольной продукции.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Качество спирта, произведенного в Республике Татарстан, продолжает оставаться высоким. Спиртзаводы ОАО “Татспиртпром”  выпускали, в основном, спирт “Люкс”, продолжается производство спирта “Альфа”.</w:t>
      </w:r>
    </w:p>
    <w:p w:rsidR="001057EB" w:rsidRDefault="001057EB">
      <w:pPr>
        <w:jc w:val="both"/>
        <w:rPr>
          <w:i/>
          <w:iCs/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Контрольно-инспекционная деятельность</w:t>
      </w:r>
    </w:p>
    <w:p w:rsidR="001057EB" w:rsidRDefault="001057EB">
      <w:pPr>
        <w:jc w:val="center"/>
        <w:rPr>
          <w:b/>
          <w:bCs/>
          <w:sz w:val="28"/>
          <w:szCs w:val="28"/>
        </w:rPr>
      </w:pP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январе - декабре 2013 года Госалкогольинспекцией Республики Татарстан и ее территориальными органами проведены 3418 проверок и расследований, в том числе в сфере оборота алкогольной и спиртосодержащей продукции - 1860.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другими контролирующими и правоохранительными органами республики сотрудниками Госалкогольинспекции Республики Татарстан проведены 1101 проверка, в том числе с МВД по Республике Татарстан – 718, Управлением Роспотребнадзора по Республике Татарстан  – 13, органами Прокуратуры Республики Татарстан – 344, другими органами – 26.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Нарушения действующего законодательства выявлены в 2545 хозяйствующих субъектах (в том числе в сфере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оборота алкогольной и спиртосодержащей продукции – в 1622). По сравнению с аналогичным периодом 2012 года количество субъектов, у которых выявлены нарушения действующего законодательства, снизилось на 9,6 %.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выявлено 3274 нарушения (в том числе в ходе контроля за оборотом алкогольной и спиртосодержащей продукции – 1765).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(по сравнению с 2012 годом) количество установленных фактов реализации алкогольной продукции без соответствующей лицензии увеличилось на 3,9% (186 фактов – в 2013 году, 179 фактов – в  2012 году).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выявленных фактов реализации продукции с истекшим сроком годности осталось практически на прежнем уровне и составило 680 фактов (686 фактов – в 2012 году), сумма утилизированной продукции составила порядка 1600 тыс. руб. (по сравнению с 2012 годом увеличение в 1,1 раза).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установленных фактов продажи продукции, запрещенной к реализации несовершеннолетним, снизилось в 3,2 раза: в том числе, фактов реализации алкоголя и пива несовершеннолетним – в 3,5 раза, табачных изделий – в 2,7 раза. 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Выявлено 198 фактов реализации гражданами спиртосодержащей продукции домашней выработки (что в 1,4 раза меньше, чем за 12 месяцев 2012 года). 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Госалкогольинспекцией Республики Татарстан проводится мониторинг по соблюдению хозяйствующими субъектами ограничения времени розничной продажи алкогольной продукции. Кроме того, проводятся совместные ночные и утренние рейды с МВД по Республике Татарстан, проверяется вся информация, поступающая от граждан на “горячую линию”. В январе - декабре 2013 г. мониторинг проведен в 5155 торговых объектах, нарушения ограничения времени продажи алкогольной продукции выявлены в 681 из них.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виновных лиц возбуждаются дела об административных правонарушениях и направляются в мировые суды для принятия решений.</w:t>
      </w:r>
    </w:p>
    <w:p w:rsidR="001057EB" w:rsidRDefault="001057EB">
      <w:pPr>
        <w:pStyle w:val="BodyText"/>
      </w:pPr>
    </w:p>
    <w:p w:rsidR="001057EB" w:rsidRDefault="001057EB">
      <w:pPr>
        <w:pStyle w:val="BodyText"/>
      </w:pPr>
      <w:r>
        <w:t xml:space="preserve"> Меры, принятые Госалкогольинспекцией и ее территориальными</w:t>
      </w:r>
    </w:p>
    <w:p w:rsidR="001057EB" w:rsidRDefault="001057EB">
      <w:pPr>
        <w:pStyle w:val="BodyText"/>
      </w:pPr>
      <w:r>
        <w:t>органами по выявленным нарушениям в сфере производства и оборота</w:t>
      </w:r>
    </w:p>
    <w:p w:rsidR="001057EB" w:rsidRDefault="00105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алкогольной продукции</w:t>
      </w:r>
    </w:p>
    <w:p w:rsidR="001057EB" w:rsidRDefault="001057EB">
      <w:pPr>
        <w:jc w:val="center"/>
        <w:rPr>
          <w:b/>
          <w:bCs/>
          <w:sz w:val="28"/>
          <w:szCs w:val="28"/>
        </w:rPr>
      </w:pP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С начала 2013 года в Госалкогольинспекцию Республики Татарстан и ее территориальные органы поступило на рассмотрение, а также направлено Госалкогольинспекцией Республики Татарстан и ее территориальными органами на рассмотрение в иные органы, уполномоченные рассматривать дела об административных правонарушениях, 1847  дел, в том числе по нарушениям в области производства и оборота алкогольной и спиртосодержащей продукции –1176. 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Принято решений по 1937 делам, в том числе о нарушениях в области производства и оборота алкогольной и спиртосодержащей продукции – 1170.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Наложено штрафов на сумму 7727,3 тыс. рублей, в том числе за нарушения в области производства и оборота алкогольной и спиртосодержащей продукции – 6503,3 тыс. руб. 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том числе, в Госалкогольинспекцию Республики Татарстан и ее территориальные органы с начала 2013 года поступило на рассмотрение 191 дело об административных правонарушениях по КоАП РТ. По поступившим материалам вынесено 187 решений, наложено штрафов на сумму 598,5 тыс. руб. 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 начала 2013 года всего изъято, конфисковано и обращено в собственность государства 20197,1 л. алкогольной и спиртосодержащей продукции.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реализации выявлена продукция ненадлежащего качества с истекшим сроком годности на сумму  порядка 1,6 млн. рублей, которая утилизирована в установленном порядке.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2013 году Межведомственной комиссией были рассмотрены 313 материалов, из них 294 материала (1334,2 дал) представлены Госалкогольинспекцией Республики Татарстан и ее территориальными органами, 1 материал (51,0 дал) - органами МВД по Республике Татарстан, 18 материалов (65,1 дал) ТУ Росимущества по РТ, по которым принято решение об уничтожении </w:t>
      </w:r>
      <w:r>
        <w:rPr>
          <w:sz w:val="28"/>
          <w:szCs w:val="28"/>
        </w:rPr>
        <w:t>изъятой из незаконного оборота и конфискованной алкогольной и спиртосодержащей продукции</w:t>
      </w:r>
      <w:r>
        <w:rPr>
          <w:rFonts w:eastAsia="Arial Unicode MS"/>
          <w:sz w:val="28"/>
          <w:szCs w:val="28"/>
        </w:rPr>
        <w:t xml:space="preserve"> в общем объеме 1450,3</w:t>
      </w:r>
      <w:r>
        <w:rPr>
          <w:sz w:val="28"/>
          <w:szCs w:val="28"/>
        </w:rPr>
        <w:t xml:space="preserve"> дал. 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направленной на уничтожение алкогольной и спиртосодержащей продукции, алкогольная продукция составляет 1413,7 дал (97,5 % от общего количества), спиртосодержащая продукция – 32,6 дал (2,2 %), самогон – 4,0 дал (0,3 %).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состоянию на 01.01.2014 г. Госалкогольинспекцией Республики Татарстан и уполномоченными органами </w:t>
      </w:r>
      <w:r>
        <w:rPr>
          <w:rFonts w:eastAsia="Arial Unicode MS"/>
          <w:sz w:val="28"/>
          <w:szCs w:val="28"/>
          <w:u w:val="single"/>
        </w:rPr>
        <w:t>уничтожено</w:t>
      </w:r>
      <w:r>
        <w:rPr>
          <w:rFonts w:eastAsia="Arial Unicode MS"/>
          <w:sz w:val="28"/>
          <w:szCs w:val="28"/>
        </w:rPr>
        <w:t xml:space="preserve"> – 1454,7 дал.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Работа по развитию и координации внутреннего рынка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Госалкогольинспекцией Республики Татарстан в 2013 году рассмотрено 21979 </w:t>
      </w:r>
      <w:r>
        <w:rPr>
          <w:rFonts w:eastAsia="Arial Unicode MS"/>
          <w:sz w:val="28"/>
          <w:szCs w:val="28"/>
        </w:rPr>
        <w:t>обращений граждан, в том числе 85,7% - в сфере торговли; 8,7% – бытовых услуг; 1,1% – жилищно-коммунальных услуг; 4,5% – прочих услуг.</w:t>
      </w:r>
      <w:r>
        <w:rPr>
          <w:sz w:val="28"/>
          <w:szCs w:val="28"/>
        </w:rPr>
        <w:t xml:space="preserve"> 87,6% обращений решено в пользу потребителей в досудебном порядке. В результате активизации профилактической работы в 2013 году количество поступивших обращений потребителей в сравнении с 2012 годом снизилось на 7,7% (в 2012 году было рассмотрено 23823 обращения) за счет уменьшения числа обращений граждан по фактам нарушений их потребительских прав и за счет активной работы по повышению потребительской грамотности и обучению навыкам самостоятельного разрешения конфликтных ситуаций по вопросам потребительского законодательства. 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  <w:r>
        <w:rPr>
          <w:noProof/>
        </w:rPr>
        <w:pict>
          <v:group id="_x0000_s1028" style="position:absolute;left:0;text-align:left;margin-left:-11.25pt;margin-top:1.05pt;width:471pt;height:213.5pt;z-index:251660288" coordorigin="1881,6194" coordsize="9420,4270" o:allowincell="f">
            <o:lock v:ext="edit" aspectratio="t"/>
            <v:shape id="_x0000_s1029" type="#_x0000_t75" style="position:absolute;left:1881;top:6194;width:9420;height:4270" o:preferrelative="f" o:allowincell="f">
              <v:fill o:detectmouseclick="t"/>
              <v:path o:extrusionok="t" o:connecttype="none"/>
              <o:lock v:ext="edit" text="t"/>
            </v:shape>
            <v:shape id="_x0000_s1030" style="position:absolute;left:5418;top:7911;width:1083;height:1298" coordsize="1083,1298" o:allowincell="f" path="m1083,602l,,,697r1083,601l1083,602xe" fillcolor="#668080" strokeweight=".55pt">
              <v:path arrowok="t"/>
            </v:shape>
            <v:shape id="_x0000_s1031" style="position:absolute;left:5418;top:7860;width:1083;height:653" coordsize="1083,653" o:allowincell="f" path="m,51r,l44,48r,l44,48,89,43r,l89,43r46,-4l135,39r,l181,35r,l181,35r45,-4l226,31r,l272,28r,l272,28r47,-3l319,25r,l366,21r,l366,21r47,-2l413,19r,l460,16r,l460,16r47,-2l507,14r,l554,11r,l554,11r48,-1l602,10r,l649,7r,l649,7,698,6r,l698,6,746,5r,l746,5,793,4r,l793,4,841,2r,l841,2,890,1r,l890,1,938,r,l938,r48,l986,r,l1035,r,l1035,r48,l1083,r,653l,51xe" fillcolor="#cff" strokeweight=".55pt">
              <v:path arrowok="t"/>
            </v:shape>
            <v:shape id="_x0000_s1032" style="position:absolute;left:5923;top:7481;width:325;height:392" coordsize="235,311" o:allowincell="f" path="m235,l115,,,311e" filled="f" strokeweight="1.1pt">
              <v:path arrowok="t"/>
            </v:shape>
            <v:shape id="_x0000_s1033" style="position:absolute;left:4875;top:7976;width:1510;height:1243" coordsize="1510,1243" o:allowincell="f" path="m1510,547l,,,696r1510,547l1510,547xe" fillcolor="#808066" strokeweight=".55pt">
              <v:path arrowok="t"/>
            </v:shape>
            <v:shape id="_x0000_s1034" style="position:absolute;left:4875;top:7922;width:1510;height:601" coordsize="1510,601" o:allowincell="f" path="m,54r,l40,47r,l40,47,81,41r,l81,41r42,-6l123,35r,l165,30r,l165,30r43,-5l208,25r,l251,18r,l251,18r43,-5l294,13r,l338,8r,l338,8,382,5r,l382,5,427,r,l1510,601,,54xe" fillcolor="#ffc" strokeweight=".55pt">
              <v:path arrowok="t"/>
            </v:shape>
            <v:shape id="_x0000_s1035" style="position:absolute;left:4811;top:7421;width:271;height:524" coordsize="196,417" o:allowincell="f" path="m,l120,r76,417e" filled="f" strokeweight="1.1pt">
              <v:path arrowok="t"/>
            </v:shape>
            <v:shape id="_x0000_s1036" style="position:absolute;left:3954;top:8184;width:2326;height:1053" coordsize="2326,1053" o:allowincell="f" path="m2326,356l,,,697r2326,356l2326,356xe" fillcolor="#4d1a33" strokeweight=".55pt">
              <v:path arrowok="t"/>
            </v:shape>
            <v:shape id="_x0000_s1037" style="position:absolute;left:3954;top:7993;width:2326;height:547" coordsize="2326,547" o:allowincell="f" path="m,191r,l26,183r,l26,183,54,172r,l54,172r28,-8l82,164r,l111,155r,l111,155r29,-10l140,145r,l170,136r,l170,136r30,-9l200,127r,l232,118r,l232,118r32,-7l264,111r,l297,102r,l297,102r33,-9l330,93r,l365,86r,l365,86r34,-8l399,78r,l434,69r,l434,69r36,-7l470,62r,l506,54r,l506,54r37,-7l543,47r,l581,40r,l581,40r37,-7l618,33r,l657,25r,l657,25r38,-6l695,19r,l735,13r,l735,13,775,7r,l775,7,815,r,l2326,547,,191xe" fillcolor="#936" strokeweight=".55pt">
              <v:path arrowok="t"/>
            </v:shape>
            <v:shape id="_x0000_s1038" style="position:absolute;left:4012;top:7608;width:306;height:469" coordsize="221,373" o:allowincell="f" path="m,l120,,221,373e" filled="f" strokeweight="1.1pt">
              <v:path arrowok="t"/>
            </v:shape>
            <v:shape id="_x0000_s1039" style="position:absolute;left:4036;top:8706;width:5549;height:1351" coordsize="5549,1351" o:allowincell="f" path="m5549,r-2,11l5547,11r,12l5544,34r-2,11l5542,45r-5,13l5533,69r,l5528,81r-7,11l5514,103r,l5506,113r-9,12l5488,136r,l5477,147r-11,12l5466,159r-13,11l5441,180r-14,11l5427,191r-15,12l5396,213r,l5381,224r-18,10l5347,245r,l5327,255r-19,12l5308,267r-19,10l5268,287r-22,10l5246,297r-22,10l5200,317r-23,10l5177,327r-25,10l5127,347r,l5101,356r-27,10l5047,375r,l5018,385r-28,9l4990,394r-30,9l4929,411r-30,9l4899,420r-32,9l4835,438r,l4802,447r-33,7l4736,463r,l4701,470r-36,8l4631,485r,l4594,493r-36,8l4558,501r-38,7l4482,516r-39,6l4443,522r-39,7l4365,536r,l4325,542r-40,6l4244,555r,l4202,561r-41,5l4161,566r-42,6l4077,577r-43,5l4034,582r-44,5l3947,592r-45,5l3902,597r-44,4l3813,606r,l3768,610r-45,4l3677,618r,l3632,621r-47,4l3585,625r-46,4l3492,631r-47,3l3445,634r-47,2l3351,639r,l3303,641r-47,3l3207,645r,l3160,648r-48,1l3064,650r,l3015,651r-48,l2967,651r-49,2l2870,653r-48,1l2822,654r-49,l2725,654r,l2677,653r-49,l2580,651r,l2532,651r-49,-1l2483,650r-47,-1l2388,648r-49,-3l2339,645r-47,-1l2244,641r-47,-2l2197,639r-47,-3l2103,634r,l2056,631r-47,-2l1962,625r,l1917,621r-46,-3l1871,618r-46,-4l1780,610r-46,-4l1734,606r-44,-5l1646,597r,l1601,592r-44,-5l1514,582r,l1471,577r-42,-5l1386,566r,l1344,561r-41,-6l1303,555r-40,-7l1223,542r-40,-6l1183,536r-40,-7l1104,522r,l1065,516r-37,-8l991,501r,l953,493r-36,-8l917,485r-36,-7l847,470r-35,-7l812,463r-34,-9l745,447r-34,-9l711,438r-31,-9l648,420r,l617,411r-30,-8l558,394r,l529,385,501,375r,l474,366,447,356r-26,-9l421,347,395,337,371,327r,l346,317,324,307,302,297r,l280,287,259,277,239,267r,l219,255,201,245r,l183,234,167,224,150,213r,l135,203,120,191r,l106,180,94,170,81,159r,l70,147,60,136r,l51,125,41,113,33,103r,l26,92,20,81,15,69r,l9,58,7,45r,l4,34,1,23,,11r,l,,,697r,11l,708r1,11l4,731r3,11l7,742r2,13l15,766r,l20,777r6,12l33,800r,l41,810r10,11l60,833r,l70,844r11,11l81,855r13,11l106,877r14,11l120,888r15,11l150,909r,l167,921r16,10l201,942r,l219,952r20,11l239,963r20,10l280,983r22,10l302,993r22,11l346,1014r25,10l371,1024r24,10l421,1044r,l447,1053r27,10l501,1071r,l529,1081r29,9l558,1090r29,9l617,1108r31,9l648,1117r32,8l711,1134r,l745,1143r33,8l812,1159r,l847,1167r34,8l917,1182r,l953,1190r38,7l991,1197r37,8l1065,1212r39,7l1104,1219r39,7l1183,1232r,l1223,1239r40,6l1303,1251r,l1344,1258r42,5l1386,1263r43,6l1471,1274r43,5l1514,1279r43,5l1601,1289r45,5l1646,1294r44,4l1734,1303r,l1780,1307r45,3l1871,1314r,l1917,1318r45,4l1962,1322r47,3l2056,1328r47,2l2103,1330r47,3l2197,1335r,l2244,1338r48,2l2339,1342r,l2388,1344r48,2l2483,1347r,l2532,1348r48,l2580,1348r48,1l2677,1349r48,2l2725,1351r48,l2822,1351r,l2870,1349r48,l2967,1348r,l3015,1348r49,-1l3064,1347r48,-1l3160,1344r47,-2l3207,1342r49,-2l3303,1338r48,-3l3351,1335r47,-2l3445,1330r,l3492,1328r47,-3l3585,1322r,l3632,1318r45,-4l3677,1314r46,-4l3768,1307r45,-4l3813,1303r45,-5l3902,1294r,l3947,1289r43,-5l4034,1279r,l4077,1274r42,-5l4161,1263r,l4202,1258r42,-7l4244,1251r41,-6l4325,1239r40,-7l4365,1232r39,-6l4443,1219r,l4482,1212r38,-7l4558,1197r,l4594,1190r37,-8l4631,1182r34,-7l4701,1167r35,-8l4736,1159r33,-8l4802,1143r33,-9l4835,1134r32,-9l4899,1117r,l4929,1108r31,-9l4990,1090r,l5018,1081r29,-10l5047,1071r27,-8l5101,1053r26,-9l5127,1044r25,-10l5177,1024r,l5200,1014r24,-10l5246,993r,l5268,983r21,-10l5308,963r,l5327,952r20,-10l5347,942r16,-11l5381,921r15,-12l5396,909r16,-10l5427,888r,l5441,877r12,-11l5466,855r,l5477,844r11,-11l5488,833r9,-12l5506,810r8,-10l5514,800r7,-11l5528,777r5,-11l5533,766r4,-11l5542,742r,l5544,731r3,-12l5547,708r,l5549,697,5549,xe" fillcolor="#4d4d80" strokeweight=".55pt">
              <v:path arrowok="t"/>
            </v:shape>
            <v:shape id="_x0000_s1040" style="position:absolute;left:4036;top:8054;width:5549;height:1306" coordsize="5549,1306" o:allowincell="f" path="m2773,r49,l2822,r48,l2870,r48,l2967,1r,l3015,2r,l3064,3r48,2l3112,5r48,1l3160,6r47,1l3256,10r,l3303,11r48,2l3351,13r47,3l3398,16r47,2l3492,21r,l3539,25r,l3585,27r47,4l3632,31r45,4l3677,35r46,4l3768,42r,l3813,47r,l3858,51r44,5l3902,56r45,4l3947,60r43,5l4034,70r,l4077,76r,l4119,81r42,5l4161,86r41,7l4244,99r,l4285,105r,l4325,111r40,7l4365,118r39,6l4404,124r39,6l4482,138r,l4520,145r,l4558,152r36,7l4594,159r37,8l4631,167r34,7l4701,183r,l4736,191r,l4769,198r33,9l4802,207r33,9l4835,216r32,7l4899,232r,l4929,241r31,9l4960,250r30,10l4990,260r28,9l5047,277r,l5074,288r,l5101,296r26,10l5127,306r25,10l5152,316r25,9l5200,335r,l5224,345r,l5246,355r22,12l5268,367r21,10l5289,377r19,10l5327,397r,l5347,408r,l5363,418r18,12l5381,430r15,10l5412,451r,l5427,461r,l5441,472r12,12l5453,484r13,11l5466,495r11,10l5488,516r,l5497,528r,l5506,539r8,11l5514,550r7,12l5521,562r7,11l5533,584r,l5537,596r,l5542,607r2,11l5544,618r3,12l5547,630r,11l5549,652r,l5547,663r,12l5547,675r-3,11l5544,686r-2,11l5537,710r,l5533,721r,l5528,733r-7,11l5521,744r-7,11l5514,755r-8,10l5497,777r,l5488,788r,l5477,799r-11,12l5466,811r-13,11l5453,822r-12,10l5427,843r,l5412,855r,l5396,865r-15,11l5381,876r-18,10l5347,897r,l5327,907r,l5308,919r-19,10l5289,929r-21,10l5268,939r-22,10l5224,959r,l5200,969r,l5177,979r-25,10l5152,989r-25,10l5127,999r-26,9l5074,1018r,l5047,1027r,l5018,1037r-28,9l4990,1046r-30,9l4960,1055r-31,8l4899,1072r,l4867,1081r-32,9l4835,1090r-33,9l4802,1099r-33,7l4736,1115r,l4701,1122r,l4665,1130r-34,7l4631,1137r-37,8l4594,1145r-36,8l4520,1160r,l4482,1168r,l4443,1174r-39,7l4404,1181r-39,7l4365,1188r-40,6l4285,1200r,l4244,1207r,l4202,1213r-41,5l4161,1218r-42,6l4077,1229r,l4034,1234r,l3990,1239r-43,5l3947,1244r-45,5l3902,1249r-44,4l3813,1258r,l3768,1262r,l3723,1266r-46,4l3677,1270r-45,3l3632,1273r-47,4l3539,1281r,l3492,1283r,l3445,1286r-47,2l3398,1288r-47,3l3351,1291r-48,2l3256,1296r,l3207,1297r,l3160,1300r-48,1l3112,1301r-48,1l3015,1303r,l2967,1303r,l2918,1305r-48,l2870,1305r-48,1l2822,1306r-49,l2725,1306r,l2677,1305r,l2628,1305r-48,-2l2580,1303r-48,l2532,1303r-49,-1l2436,1301r,l2388,1300r,l2339,1297r-47,-1l2292,1296r-48,-3l2244,1293r-47,-2l2150,1288r,l2103,1286r-47,-3l2056,1283r-47,-2l2009,1281r-47,-4l1917,1273r,l1871,1270r,l1825,1266r-45,-4l1780,1262r-46,-4l1734,1258r-44,-5l1646,1249r,l1601,1244r,l1557,1239r-43,-5l1514,1234r-43,-5l1471,1229r-42,-5l1386,1218r,l1344,1213r,l1303,1207r-40,-7l1263,1200r-40,-6l1183,1188r,l1143,1181r,l1104,1174r-39,-6l1065,1168r-37,-8l1028,1160r-37,-7l953,1145r,l917,1137r,l881,1130r-34,-8l847,1122r-35,-7l812,1115r-34,-9l745,1099r,l711,1090r,l680,1081r-32,-9l648,1072r-31,-9l617,1063r-30,-8l558,1046r,l529,1037r-28,-10l501,1027r-27,-9l474,1018r-27,-10l421,999r,l395,989r,l371,979,346,969r,l324,959r,l302,949,280,939r,l259,929r,l239,919,219,907r,l201,897r,l183,886,167,876r,l150,865r,l135,855,120,843r,l106,832,94,822r,l81,811r,l70,799,60,788r,l51,777r,l41,765,33,755r,l26,744r,l20,733,15,721r,l9,710r,l7,697,4,686r,l1,675r,l,663,,652r,l,641r,l1,630,4,618r,l7,607,9,596r,l15,584r,l20,573r6,-11l26,562r7,-12l33,550r8,-11l51,528r,l60,516r,l70,505,81,495r,l94,484r,l106,472r14,-11l120,461r15,-10l135,451r15,-11l167,430r,l183,418r,l201,408r18,-11l219,397r20,-10l259,377r,l280,367r,l302,355r22,-10l324,345r22,-10l346,335r25,-10l395,316r,l421,306r,l447,296,2773,652,2773,xe" fillcolor="#99f" strokeweight=".55pt">
              <v:path arrowok="t"/>
            </v:shape>
            <v:rect id="_x0000_s1041" style="position:absolute;left:5253;top:6194;width:2142;height:414" o:allowincell="f" filled="f" stroked="f">
              <v:textbox inset="0,0,0,0">
                <w:txbxContent>
                  <w:p w:rsidR="001057EB" w:rsidRDefault="001057EB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Структура обращений </w:t>
                    </w:r>
                  </w:p>
                  <w:p w:rsidR="001057EB" w:rsidRDefault="001057EB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2" style="position:absolute;left:3215;top:6411;width:5976;height:207" o:allowincell="f" filled="f" stroked="f">
              <v:textbox inset="0,0,0,0">
                <w:txbxContent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>рассмотренных Госалкогольинспекцией Республики Татарстан</w:t>
                    </w:r>
                  </w:p>
                </w:txbxContent>
              </v:textbox>
            </v:rect>
            <v:rect id="_x0000_s1043" style="position:absolute;left:5863;top:6629;width:1112;height:207" o:allowincell="f" filled="f" stroked="f">
              <v:textbox inset="0,0,0,0">
                <w:txbxContent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за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201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 xml:space="preserve"> год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4" style="position:absolute;left:4518;top:6846;width:3554;height:207" o:allowincell="f" filled="f" stroked="f">
              <v:textbox inset="0,0,0,0">
                <w:txbxContent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(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>по сферам потребительского рынка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5" style="position:absolute;left:7408;top:8443;width:738;height:299" o:allowincell="f" filled="f" stroked="f">
              <v:textbox inset="0,0,0,0">
                <w:txbxContent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</w:rPr>
                      <w:t>85,7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 xml:space="preserve">% </w:t>
                    </w:r>
                  </w:p>
                </w:txbxContent>
              </v:textbox>
            </v:rect>
            <v:rect id="_x0000_s1046" style="position:absolute;left:7101;top:8749;width:1116;height:253" o:allowincell="f" filled="f" stroked="f">
              <v:textbox inset="0,0,0,0">
                <w:txbxContent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торговля</w:t>
                    </w:r>
                  </w:p>
                </w:txbxContent>
              </v:textbox>
            </v:rect>
            <v:rect id="_x0000_s1047" style="position:absolute;left:3100;top:7234;width:502;height:253" o:allowincell="f" filled="f" stroked="f">
              <v:textbox inset="0,0,0,0">
                <w:txbxContent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8,7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48" style="position:absolute;left:2788;top:7488;width:1098;height:506" o:allowincell="f" filled="f" stroked="f">
              <v:textbox inset="0,0,0,0">
                <w:txbxContent>
                  <w:p w:rsidR="001057EB" w:rsidRDefault="001057EB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 xml:space="preserve">бытовые </w:t>
                    </w:r>
                  </w:p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услуги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2967;top:7742;width:109;height:276" o:allowincell="f" filled="f" stroked="f">
              <v:textbox inset="0,0,0,0">
                <w:txbxContent>
                  <w:p w:rsidR="001057EB" w:rsidRDefault="001057EB"/>
                </w:txbxContent>
              </v:textbox>
            </v:rect>
            <v:rect id="_x0000_s1050" style="position:absolute;left:4210;top:7173;width:502;height:253" o:allowincell="f" filled="f" stroked="f">
              <v:textbox inset="0,0,0,0">
                <w:txbxContent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,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1" style="position:absolute;left:4219;top:7427;width:1183;height:253" o:allowincell="f" filled="f" stroked="f">
              <v:textbox inset="0,0,0,0">
                <w:txbxContent>
                  <w:p w:rsidR="001057EB" w:rsidRDefault="001057EB">
                    <w:pP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услуги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жкх</w:t>
                    </w:r>
                  </w:p>
                </w:txbxContent>
              </v:textbox>
            </v:rect>
            <v:rect id="_x0000_s1052" style="position:absolute;left:6462;top:7107;width:502;height:253" o:allowincell="f" filled="f" stroked="f">
              <v:textbox inset="0,0,0,0">
                <w:txbxContent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4,5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>%</w:t>
                    </w:r>
                  </w:p>
                </w:txbxContent>
              </v:textbox>
            </v:rect>
            <v:rect id="_x0000_s1053" style="position:absolute;left:6281;top:7361;width:1667;height:253" o:allowincell="f" filled="f" stroked="f">
              <v:textbox inset="0,0,0,0">
                <w:txbxContent>
                  <w:p w:rsidR="001057EB" w:rsidRDefault="001057EB"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</w:rPr>
                      <w:t>прочие услуги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4" style="position:absolute;left:6330;top:7615;width:109;height:276" o:allowincell="f" filled="f" stroked="f">
              <v:textbox inset="0,0,0,0">
                <w:txbxContent>
                  <w:p w:rsidR="001057EB" w:rsidRDefault="001057EB"/>
                </w:txbxContent>
              </v:textbox>
            </v:rect>
            <w10:anchorlock/>
          </v:group>
        </w:pic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Оказано содействие потребителям в составлении 1100 претензий (в 2012 году – 1183), 209 проектов исковых заявлений (в 2012 году - 324). Общая стоимость исков составила 7769,1 тыс. рублей (в 2012 году – 9390,7 тыс. руб.). </w:t>
      </w:r>
    </w:p>
    <w:p w:rsidR="001057EB" w:rsidRDefault="0010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2013 год  в  торговых объектах республики выявлено и снято с реализации товаров с истекшим сроком годности на общую сумму 1686,4  тыс. руб., что на 9,6% больше, чем в 2011 году (в 2012 году –  1538,54тыс.руб.)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Принято участие в 199 судебных заседаниях по делам о защите прав потребителей (в 2012 году – 280). По итогам судебных процессов за 2013 год иски 93 потребителей удовлетворены полностью или частично на сумму  4255,15 тыс. рублей (в 2012 году – иски 124 потребителей на сумму 3536,31 тыс.руб.).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За 2013 год проведено 983 приема  граждан, что на 49% больше, чем в 2012 году  (в 2012 году – 659), в ходе которых принято 2656 человек. </w:t>
      </w:r>
      <w:r>
        <w:rPr>
          <w:sz w:val="28"/>
          <w:szCs w:val="28"/>
        </w:rPr>
        <w:t xml:space="preserve">Осуществлен 21 видео-прием населения республики с руководством Госалкогольинспекции Республики Татарстан, в ходе которых  принято 118 человек. Проведено </w:t>
      </w:r>
      <w:r>
        <w:rPr>
          <w:rFonts w:eastAsia="Arial Unicode MS"/>
          <w:sz w:val="28"/>
          <w:szCs w:val="28"/>
        </w:rPr>
        <w:t>2783 мероприятия, направленных на повышение потребительской грамотности населения (в 2012 году – 2375).</w:t>
      </w:r>
    </w:p>
    <w:p w:rsidR="001057EB" w:rsidRDefault="001057EB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Проведена республиканская </w:t>
      </w:r>
      <w:r>
        <w:rPr>
          <w:color w:val="000000"/>
          <w:sz w:val="28"/>
          <w:szCs w:val="28"/>
        </w:rPr>
        <w:t xml:space="preserve">олимпиада по теме “Защита прав потребителей”, в которой приняли участие более </w:t>
      </w:r>
      <w:r>
        <w:rPr>
          <w:sz w:val="28"/>
          <w:szCs w:val="28"/>
        </w:rPr>
        <w:t>500 учащихся республики.</w:t>
      </w:r>
    </w:p>
    <w:p w:rsidR="001057EB" w:rsidRDefault="001057EB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ab/>
        <w:t>Также было проведено 1250 мероприятий для хозяйствующих субъектов (в 2012 году – 1051).  Освещено 2625 материалов  в средствах массовой информации, что на 6% больше, чем в 2012 году (в 2012 году – 2079).</w:t>
      </w:r>
    </w:p>
    <w:p w:rsidR="001057EB" w:rsidRDefault="001057EB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ab/>
      </w:r>
      <w:r>
        <w:rPr>
          <w:sz w:val="28"/>
          <w:szCs w:val="28"/>
        </w:rPr>
        <w:t xml:space="preserve">Разработаны и изданы  4 памятки для потребителей на темы: “Досудебный порядок разрешения споров. Образцы заявлений и претензий”, “Памятка потребителю при покупке товаров дистанционным способом”, “Памятка туристам. Условия договора, права и обязанности туриста, ответственность исполнителя”,  “Памятка потребителю при заказе и изготовлении мебели”. Издана брошюра: “Защита прав потребителей при заказе, изготовлении и установке оконных конструкций и дверей”. 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В 2013 году были организованы  и проведены потребительские дегустации и экспертизы по семи группам однородных видов товаров, закупленных в торговой сети. В ходе этих мероприятий  были исследованы 118 различных наименований продукции, как произведённых в нашей республике, так и завезённой из других регионов. </w:t>
      </w:r>
      <w:r>
        <w:rPr>
          <w:rFonts w:eastAsia="Arial Unicode MS"/>
          <w:color w:val="000000"/>
          <w:sz w:val="28"/>
          <w:szCs w:val="28"/>
        </w:rPr>
        <w:t xml:space="preserve">Проведены потребительские дегустации </w:t>
      </w:r>
      <w:r>
        <w:rPr>
          <w:sz w:val="28"/>
          <w:szCs w:val="28"/>
        </w:rPr>
        <w:t>сосисок, мороженого “Пломбир”, колбасы полукопченой “Краковская”, молока сгущенного цельного с сахаром, рыбных консерв и пресерв</w:t>
      </w:r>
      <w:r>
        <w:rPr>
          <w:sz w:val="28"/>
          <w:szCs w:val="28"/>
          <w:lang w:val="tt-RU"/>
        </w:rPr>
        <w:t>ов</w:t>
      </w:r>
      <w:r>
        <w:rPr>
          <w:rFonts w:eastAsia="Arial Unicode MS"/>
          <w:color w:val="000000"/>
          <w:sz w:val="28"/>
          <w:szCs w:val="28"/>
        </w:rPr>
        <w:t xml:space="preserve">. </w:t>
      </w:r>
      <w:r>
        <w:rPr>
          <w:rFonts w:eastAsia="Arial Unicode MS"/>
          <w:sz w:val="28"/>
          <w:szCs w:val="28"/>
        </w:rPr>
        <w:t>В дегустациях оценено качество продукции 44  различных изготовителей как  Республики Татарстан, так и других регионов</w:t>
      </w:r>
      <w:r>
        <w:rPr>
          <w:rFonts w:eastAsia="Arial Unicode MS"/>
          <w:sz w:val="28"/>
          <w:szCs w:val="28"/>
          <w:lang w:val="tt-RU"/>
        </w:rPr>
        <w:t>.</w:t>
      </w:r>
      <w:r>
        <w:rPr>
          <w:rFonts w:eastAsia="Arial Unicode MS"/>
          <w:sz w:val="28"/>
          <w:szCs w:val="28"/>
        </w:rPr>
        <w:t xml:space="preserve"> По результатам </w:t>
      </w:r>
      <w:r>
        <w:rPr>
          <w:rFonts w:eastAsia="Arial Unicode MS"/>
          <w:sz w:val="28"/>
          <w:szCs w:val="28"/>
          <w:lang w:val="tt-RU"/>
        </w:rPr>
        <w:t>отклонений</w:t>
      </w:r>
      <w:r>
        <w:rPr>
          <w:rFonts w:eastAsia="Arial Unicode MS"/>
          <w:sz w:val="28"/>
          <w:szCs w:val="28"/>
        </w:rPr>
        <w:t xml:space="preserve"> от установленных требований</w:t>
      </w:r>
      <w:r>
        <w:rPr>
          <w:rFonts w:eastAsia="Arial Unicode MS"/>
          <w:sz w:val="28"/>
          <w:szCs w:val="28"/>
          <w:lang w:val="tt-RU"/>
        </w:rPr>
        <w:t>,</w:t>
      </w:r>
      <w:r>
        <w:rPr>
          <w:rFonts w:eastAsia="Arial Unicode MS"/>
          <w:sz w:val="28"/>
          <w:szCs w:val="28"/>
        </w:rPr>
        <w:t xml:space="preserve"> выявленных в ходе дегустаций продукции, материалы направлены в Управление Роспотребнадзора по РТ для принятия соответствующих мер.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Подведены итоги лабораторных исследований непродовольственных товаров (игруш</w:t>
      </w:r>
      <w:r>
        <w:rPr>
          <w:sz w:val="28"/>
          <w:szCs w:val="28"/>
          <w:lang w:val="tt-RU"/>
        </w:rPr>
        <w:t>е</w:t>
      </w:r>
      <w:r>
        <w:rPr>
          <w:sz w:val="28"/>
          <w:szCs w:val="28"/>
        </w:rPr>
        <w:t>к, строительно-отделочных материал</w:t>
      </w:r>
      <w:r>
        <w:rPr>
          <w:sz w:val="28"/>
          <w:szCs w:val="28"/>
          <w:lang w:val="tt-RU"/>
        </w:rPr>
        <w:t>ов</w:t>
      </w:r>
      <w:r>
        <w:rPr>
          <w:sz w:val="28"/>
          <w:szCs w:val="28"/>
        </w:rPr>
        <w:t>).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 и выпущено 10 номеров газеты “</w:t>
      </w:r>
      <w:r>
        <w:rPr>
          <w:sz w:val="28"/>
          <w:szCs w:val="28"/>
          <w:lang w:val="en-US"/>
        </w:rPr>
        <w:t>PULSE</w:t>
      </w:r>
      <w:r>
        <w:rPr>
          <w:sz w:val="28"/>
          <w:szCs w:val="28"/>
        </w:rPr>
        <w:t>” Полезная газета для потребителя” общим тиражом 320 тыс. экземпляров для распространения населению республики. Совместно с телеканалами ГТРК “Татарстан”, ТРК “ТНВ” проведены передачи на телевидении и радио  по вопросам потребительского законодательства.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В целях наведения порядка по вопросу обеспечения населения республики социально значимыми продовольственными товарами первой необходимости проводится еженедельный мониторинг цен и ассортимента продукции</w:t>
      </w:r>
      <w:r>
        <w:rPr>
          <w:sz w:val="28"/>
          <w:szCs w:val="28"/>
        </w:rPr>
        <w:t xml:space="preserve"> республиканских изготовителей, реализуемых предприятиями розничной торговли, в том числе на рынках Республики Татарстан.</w:t>
      </w:r>
      <w:r>
        <w:rPr>
          <w:rFonts w:eastAsia="Arial Unicode MS"/>
          <w:sz w:val="28"/>
          <w:szCs w:val="28"/>
        </w:rPr>
        <w:t xml:space="preserve"> Кроме этого проводится мониторинг розничных цен на водку, ассортимента пива.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В целях оптимизации ситуации по вопросам  потребительского рынка, продвижения качественных товаров местных изготовителей Госалкогольинспекцией РТ в </w:t>
      </w:r>
      <w:r>
        <w:rPr>
          <w:color w:val="000000"/>
          <w:sz w:val="28"/>
          <w:szCs w:val="28"/>
        </w:rPr>
        <w:t xml:space="preserve">Тюлячинском, Актанышском, Алькеевском, Сармановском, Мамадышском, Аксубаевском, Кайбицком, Арском муниципальных районах </w:t>
      </w:r>
      <w:r>
        <w:rPr>
          <w:rFonts w:eastAsia="Arial Unicode MS"/>
          <w:sz w:val="28"/>
          <w:szCs w:val="28"/>
        </w:rPr>
        <w:t xml:space="preserve">организованы выездные мероприятия с </w:t>
      </w:r>
      <w:r>
        <w:rPr>
          <w:sz w:val="28"/>
          <w:szCs w:val="28"/>
        </w:rPr>
        <w:t xml:space="preserve">привлечением представителей органов местного самоуправления, совещания с </w:t>
      </w:r>
      <w:r>
        <w:rPr>
          <w:rFonts w:eastAsia="Arial Unicode MS"/>
          <w:sz w:val="28"/>
          <w:szCs w:val="28"/>
        </w:rPr>
        <w:t>хозяйствующими субъектами, осуществляющими деятельность на территории районов.</w:t>
      </w:r>
      <w:r>
        <w:rPr>
          <w:sz w:val="28"/>
          <w:szCs w:val="28"/>
        </w:rPr>
        <w:t xml:space="preserve">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Проведено совещание</w:t>
      </w:r>
      <w:r>
        <w:rPr>
          <w:color w:val="000000"/>
          <w:sz w:val="28"/>
          <w:szCs w:val="28"/>
        </w:rPr>
        <w:t xml:space="preserve"> с руководителями продовольственных торговых сетей, осуществляющих деятельность на территории республики на тему: </w:t>
      </w:r>
      <w:r>
        <w:rPr>
          <w:sz w:val="28"/>
          <w:szCs w:val="28"/>
        </w:rPr>
        <w:t>“О состоянии и проблемах потребительского рынка Республики Татарстан”. На совещании приняты решения, направленные на улучшение ситуации с реализацией социально-значимых продовольственных товаров, на пресечение случаев продажи продукции с истекшим сроком годности.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 Долгосрочной целевой программы “Развитие комплексной системы защиты прав потребителей в Республике Татарстан на 2013 – 2015 годы” состоял</w:t>
      </w:r>
      <w:r>
        <w:rPr>
          <w:sz w:val="28"/>
          <w:szCs w:val="28"/>
          <w:lang w:val="tt-RU"/>
        </w:rPr>
        <w:t>и</w:t>
      </w:r>
      <w:r>
        <w:rPr>
          <w:sz w:val="28"/>
          <w:szCs w:val="28"/>
        </w:rPr>
        <w:t>сь заседания Межведомственной рабочей группы по вопросам реализации долгосрочной программы, в ходе котор</w:t>
      </w:r>
      <w:r>
        <w:rPr>
          <w:sz w:val="28"/>
          <w:szCs w:val="28"/>
          <w:lang w:val="tt-RU"/>
        </w:rPr>
        <w:t>ых</w:t>
      </w:r>
      <w:r>
        <w:rPr>
          <w:sz w:val="28"/>
          <w:szCs w:val="28"/>
        </w:rPr>
        <w:t xml:space="preserve">  были обсуждены назревшие проблемы в сфере потребительского </w:t>
      </w:r>
      <w:r>
        <w:rPr>
          <w:sz w:val="28"/>
          <w:szCs w:val="28"/>
          <w:lang w:val="tt-RU"/>
        </w:rPr>
        <w:t>рынка</w:t>
      </w:r>
      <w:r>
        <w:rPr>
          <w:sz w:val="28"/>
          <w:szCs w:val="28"/>
        </w:rPr>
        <w:t xml:space="preserve">, рассмотрены и приняты решения по приоритетным направлениям деятельности, выработаны единые подходы в реализации программы. </w:t>
      </w:r>
    </w:p>
    <w:p w:rsidR="001057EB" w:rsidRDefault="001057EB">
      <w:pPr>
        <w:ind w:firstLine="708"/>
        <w:rPr>
          <w:i/>
          <w:iCs/>
          <w:sz w:val="28"/>
          <w:szCs w:val="28"/>
        </w:rPr>
      </w:pPr>
    </w:p>
    <w:p w:rsidR="001057EB" w:rsidRDefault="001057EB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Сведения о результатах работы по повышению потребительской грамотности населения и рассмотрению обращений (в разрезе районов) за 2013 г. прилагаются.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pStyle w:val="BodyText"/>
        <w:rPr>
          <w:rFonts w:eastAsia="Arial Unicode MS"/>
        </w:rPr>
      </w:pPr>
      <w:r>
        <w:rPr>
          <w:rFonts w:eastAsia="Arial Unicode MS"/>
        </w:rPr>
        <w:t>Работа по проведению исследований алкогольной и спиртсодержащей продукции и освоению новых методик</w:t>
      </w:r>
    </w:p>
    <w:p w:rsidR="001057EB" w:rsidRDefault="001057EB">
      <w:pPr>
        <w:jc w:val="both"/>
        <w:rPr>
          <w:i/>
          <w:iCs/>
          <w:sz w:val="28"/>
          <w:szCs w:val="28"/>
        </w:rPr>
      </w:pP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Госалкогольинспекцией Республики Татарстан и подведомственным ей государственным бюджетным учреждением “Республиканский центр независимой экспертизы и мониторинга потребительского рынка” в 2013 году проведены испытания 17498 образов этилового спирта, алкогольной и спиртосодержащей продукции, 128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образцов питьевой воды. Забраковано 783 образов алкогольной продукции, 78 образцов воды.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комиссионные арбитражные исследования по 281 образцам, ранее забракованным испытательными лабораториями Республики Татарстан, осуществляющими проверку алкогольной  продукции. Также были проведены исследования </w:t>
      </w:r>
      <w:r>
        <w:rPr>
          <w:color w:val="000000"/>
          <w:sz w:val="28"/>
          <w:szCs w:val="28"/>
        </w:rPr>
        <w:t>16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образцов алкогольной продукции в рамках сличительных испытаний между испытательными лабораториями Республики Татарстан.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выполнения договорных обязательств для МРУ Росалкогольрегулирования по Приволжскому Федеральному округу ИЛ “РЦНЭиМПР” проанализировано 83 образца алкогольной продукции.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разработанной ранее методике определения содержания канцерогена – гидроксиметилфурфурола (ГМФ) опубликованы 3 статьи в различных отраслевых и профильных журналах: “Виноделие и виноградарство”, “Вестник Казанского технологического университета”, “Сборник материалов Международной междисциплинарной научно-практической конференции”.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 методике оперативного установления подлинности столовых вин (содержания полиолов методом ГХ-МС без экстракции) разработанной в ИЛ, на договорной основе для  ОАО “Весьегонский винзавод”  исследовано 35 образов вин столовых и виноматериалов, из которых 23 образца забракованы, в том числе и по наличию растворителя ароматизаторов – пропиленгликоля. По этой же методике была установлена массовая концентрация глицерина в сладких настойках для ОАО “Уржумский спиртовый завод”.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ООО “Объединенные пензенские водочные заводы”  была установлена причина образования и выпадения осадка в сладких настойках методом атомной абсорбции.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идентификация 116 образцов алкогольной продукции Республики Казахстан. Выявлено, что коньяки, вина, игристые напитки изготовлены кустарным способом из водно-спиртового раствора с добавлением ароматизаторов, синтетических красителей и сахара. </w:t>
      </w:r>
    </w:p>
    <w:p w:rsidR="001057EB" w:rsidRDefault="0010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Испытательная лаборатория  участвовала  в системе международных сличительных испытаниях, проводимых FAPAS Великобритания (ООО “Системные решения Стайлаб”), в межлабораторных сравнительных испытаниях организованных ФБУ “Государственный региональный центр стандартизации, метрологии и испытаний в Республике Татарстан”.</w:t>
      </w:r>
    </w:p>
    <w:p w:rsidR="001057EB" w:rsidRDefault="0010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положительные. </w:t>
      </w:r>
    </w:p>
    <w:p w:rsidR="001057EB" w:rsidRDefault="0010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испытательной лаборатории ГБУ “РЦНЭиМПР” приказом Федеральной службой по аккредитации был проведен инспекционный контроль, по результатам которого получено заключение о соответствии ИЛ критериям аккредитации и способность ИЛ обеспечить правильность и полноту проведения испытания продукции, объективность, достоверность и точность их результатов. </w:t>
      </w:r>
    </w:p>
    <w:p w:rsidR="001057EB" w:rsidRDefault="00105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дополнение к имеющемуся лабораторному оборудованию в текущем году приобретены и введены в эксплуатацию  аналитические приборы и расходные материалы  на сумму – 9 447.7 тысяч  рублей.</w:t>
      </w:r>
    </w:p>
    <w:p w:rsidR="001057EB" w:rsidRDefault="001057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Возможности испытательной лаборатории и большой теоретический и практический опыт специалистов позволяют проводить экспертизу не только алкогольной,  но и другой пищевой продукции. 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Организация заседаний Республиканской межведомственной</w:t>
      </w:r>
    </w:p>
    <w:p w:rsidR="001057EB" w:rsidRDefault="001057EB">
      <w:pPr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дегустационной комиссии</w:t>
      </w:r>
    </w:p>
    <w:p w:rsidR="001057EB" w:rsidRDefault="001057EB">
      <w:pPr>
        <w:jc w:val="both"/>
        <w:rPr>
          <w:sz w:val="28"/>
          <w:szCs w:val="28"/>
        </w:rPr>
      </w:pPr>
    </w:p>
    <w:p w:rsidR="001057EB" w:rsidRDefault="001057EB">
      <w:pPr>
        <w:ind w:firstLine="708"/>
        <w:jc w:val="both"/>
        <w:rPr>
          <w:snapToGrid w:val="0"/>
          <w:sz w:val="28"/>
          <w:szCs w:val="28"/>
        </w:rPr>
      </w:pPr>
      <w:r>
        <w:rPr>
          <w:rFonts w:eastAsia="Arial Unicode MS"/>
          <w:sz w:val="28"/>
          <w:szCs w:val="28"/>
        </w:rPr>
        <w:t>В 2013 году проведено три заседания Республиканской межведомственной дегустационной комиссии по алкогольной продукции,</w:t>
      </w:r>
      <w:r>
        <w:rPr>
          <w:sz w:val="28"/>
          <w:szCs w:val="28"/>
        </w:rPr>
        <w:t xml:space="preserve"> на которых были продегустированы</w:t>
      </w:r>
      <w:r>
        <w:rPr>
          <w:snapToGrid w:val="0"/>
          <w:sz w:val="28"/>
          <w:szCs w:val="28"/>
        </w:rPr>
        <w:t xml:space="preserve"> водки класса премиум, горькие настойки и шампанское вина. 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 результатам дегустаций отмечено хорошее качество местной продукции, даны рекомендации по улучшению органолептических характеристик выпускаемой продукции, по обновлению ассортимента с учетом потребительских предпочтений. 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Заседания Республиканской межведомственной дегустационной комиссии по алкогольной продукции освещались в средствах массовой информации.</w:t>
      </w:r>
    </w:p>
    <w:p w:rsidR="001057EB" w:rsidRDefault="001057EB">
      <w:pPr>
        <w:ind w:firstLine="708"/>
        <w:jc w:val="both"/>
        <w:rPr>
          <w:rFonts w:eastAsia="Arial Unicode MS"/>
          <w:sz w:val="28"/>
          <w:szCs w:val="28"/>
        </w:rPr>
      </w:pPr>
    </w:p>
    <w:p w:rsidR="001057EB" w:rsidRDefault="001057EB">
      <w:pPr>
        <w:jc w:val="center"/>
        <w:rPr>
          <w:i/>
          <w:iCs/>
        </w:rPr>
      </w:pPr>
      <w:r>
        <w:rPr>
          <w:sz w:val="28"/>
          <w:szCs w:val="28"/>
        </w:rPr>
        <w:t>____________________________________</w:t>
      </w:r>
    </w:p>
    <w:sectPr w:rsidR="001057EB" w:rsidSect="001057EB">
      <w:headerReference w:type="default" r:id="rId10"/>
      <w:type w:val="oddPage"/>
      <w:pgSz w:w="12242" w:h="15842" w:code="1"/>
      <w:pgMar w:top="1134" w:right="851" w:bottom="719" w:left="1701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EB" w:rsidRDefault="001057EB">
      <w:r>
        <w:separator/>
      </w:r>
    </w:p>
  </w:endnote>
  <w:endnote w:type="continuationSeparator" w:id="0">
    <w:p w:rsidR="001057EB" w:rsidRDefault="0010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EB" w:rsidRDefault="001057EB">
      <w:r>
        <w:separator/>
      </w:r>
    </w:p>
  </w:footnote>
  <w:footnote w:type="continuationSeparator" w:id="0">
    <w:p w:rsidR="001057EB" w:rsidRDefault="00105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EB" w:rsidRDefault="001057E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057EB" w:rsidRDefault="001057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AE8"/>
    <w:multiLevelType w:val="multilevel"/>
    <w:tmpl w:val="E6B44C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7EB"/>
    <w:rsid w:val="001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jc w:val="center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firstLine="72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800"/>
      </w:tabs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1800"/>
      </w:tabs>
      <w:jc w:val="center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120"/>
      <w:jc w:val="center"/>
      <w:outlineLvl w:val="6"/>
    </w:pPr>
    <w:rPr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widowControl w:val="0"/>
      <w:snapToGrid w:val="0"/>
      <w:spacing w:before="40" w:after="40"/>
      <w:ind w:right="175"/>
      <w:outlineLvl w:val="7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7E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57E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57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7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57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7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7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57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7EB"/>
    <w:rPr>
      <w:rFonts w:asciiTheme="majorHAnsi" w:eastAsiaTheme="majorEastAsia" w:hAnsiTheme="majorHAnsi" w:cstheme="majorBidi"/>
    </w:rPr>
  </w:style>
  <w:style w:type="character" w:customStyle="1" w:styleId="6">
    <w:name w:val="Знак Знак6"/>
    <w:uiPriority w:val="99"/>
    <w:rPr>
      <w:b/>
      <w:bCs/>
      <w:i/>
      <w:iCs/>
      <w:sz w:val="24"/>
      <w:szCs w:val="24"/>
    </w:rPr>
  </w:style>
  <w:style w:type="character" w:customStyle="1" w:styleId="5">
    <w:name w:val="Знак Знак5"/>
    <w:uiPriority w:val="99"/>
    <w:rPr>
      <w:b/>
      <w:bCs/>
      <w:i/>
      <w:iCs/>
      <w:sz w:val="24"/>
      <w:szCs w:val="24"/>
    </w:rPr>
  </w:style>
  <w:style w:type="character" w:customStyle="1" w:styleId="4">
    <w:name w:val="Знак Знак4"/>
    <w:uiPriority w:val="99"/>
    <w:rPr>
      <w:rFonts w:ascii="Cambria" w:hAnsi="Cambria" w:cs="Cambria"/>
      <w:sz w:val="22"/>
      <w:szCs w:val="22"/>
    </w:rPr>
  </w:style>
  <w:style w:type="paragraph" w:customStyle="1" w:styleId="Preformatted">
    <w:name w:val="Preformatted"/>
    <w:basedOn w:val="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3">
    <w:name w:val="заголовок 3"/>
    <w:basedOn w:val="Normal"/>
    <w:next w:val="Normal"/>
    <w:uiPriority w:val="99"/>
    <w:pPr>
      <w:keepNext/>
      <w:jc w:val="center"/>
    </w:pPr>
    <w:rPr>
      <w:b/>
      <w:bCs/>
      <w:i/>
      <w:iCs/>
    </w:rPr>
  </w:style>
  <w:style w:type="paragraph" w:customStyle="1" w:styleId="1">
    <w:name w:val="заголовок 1"/>
    <w:basedOn w:val="Normal"/>
    <w:next w:val="Normal"/>
    <w:uiPriority w:val="99"/>
    <w:pPr>
      <w:keepNext/>
      <w:jc w:val="center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</w:style>
  <w:style w:type="paragraph" w:styleId="BodyTextIndent3">
    <w:name w:val="Body Text Indent 3"/>
    <w:basedOn w:val="Normal"/>
    <w:link w:val="BodyTextIndent3Char"/>
    <w:uiPriority w:val="99"/>
    <w:pPr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57EB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tabs>
        <w:tab w:val="left" w:pos="7729"/>
      </w:tabs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57EB"/>
    <w:rPr>
      <w:rFonts w:ascii="Times New Roman" w:hAnsi="Times New Roman" w:cs="Times New Roman"/>
      <w:sz w:val="16"/>
      <w:szCs w:val="16"/>
    </w:rPr>
  </w:style>
  <w:style w:type="paragraph" w:customStyle="1" w:styleId="z-TopofForm1">
    <w:name w:val="z-Top of Form1"/>
    <w:next w:val="Normal"/>
    <w:hidden/>
    <w:uiPriority w:val="99"/>
    <w:pPr>
      <w:widowControl w:val="0"/>
      <w:pBdr>
        <w:bottom w:val="double" w:sz="2" w:space="0" w:color="000000"/>
      </w:pBdr>
      <w:autoSpaceDE w:val="0"/>
      <w:autoSpaceDN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BodyText23">
    <w:name w:val="Body Text 23"/>
    <w:basedOn w:val="Normal"/>
    <w:uiPriority w:val="99"/>
    <w:pPr>
      <w:jc w:val="center"/>
    </w:pPr>
    <w:rPr>
      <w:sz w:val="18"/>
      <w:szCs w:val="18"/>
    </w:rPr>
  </w:style>
  <w:style w:type="paragraph" w:styleId="BlockText">
    <w:name w:val="Block Text"/>
    <w:basedOn w:val="Normal"/>
    <w:uiPriority w:val="99"/>
    <w:pPr>
      <w:widowControl w:val="0"/>
      <w:spacing w:line="260" w:lineRule="auto"/>
      <w:ind w:left="113" w:right="113"/>
      <w:jc w:val="center"/>
    </w:pPr>
    <w:rPr>
      <w:rFonts w:ascii="Times New Roman CYR" w:hAnsi="Times New Roman CYR" w:cs="Times New Roman CYR"/>
      <w:sz w:val="22"/>
      <w:szCs w:val="22"/>
    </w:rPr>
  </w:style>
  <w:style w:type="paragraph" w:styleId="BodyText2">
    <w:name w:val="Body Text 2"/>
    <w:basedOn w:val="Normal"/>
    <w:link w:val="BodyText2Char"/>
    <w:uiPriority w:val="9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57EB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57EB"/>
    <w:rPr>
      <w:rFonts w:ascii="Times New Roman" w:hAnsi="Times New Roman" w:cs="Times New Roman"/>
      <w:sz w:val="24"/>
      <w:szCs w:val="24"/>
    </w:rPr>
  </w:style>
  <w:style w:type="character" w:customStyle="1" w:styleId="30">
    <w:name w:val="Знак Знак3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center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57E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7EB"/>
    <w:rPr>
      <w:rFonts w:ascii="Times New Roman" w:hAnsi="Times New Roman" w:cs="Times New Roman"/>
      <w:sz w:val="24"/>
      <w:szCs w:val="24"/>
    </w:rPr>
  </w:style>
  <w:style w:type="paragraph" w:customStyle="1" w:styleId="caaieiaie3">
    <w:name w:val="caaieiaie 3"/>
    <w:basedOn w:val="Normal"/>
    <w:next w:val="Normal"/>
    <w:uiPriority w:val="99"/>
    <w:pPr>
      <w:keepNext/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57EB"/>
    <w:rPr>
      <w:rFonts w:ascii="Times New Roman" w:hAnsi="Times New Roman" w:cs="Times New Roman"/>
      <w:sz w:val="24"/>
      <w:szCs w:val="24"/>
    </w:rPr>
  </w:style>
  <w:style w:type="character" w:customStyle="1" w:styleId="2">
    <w:name w:val="Знак Знак2"/>
    <w:uiPriority w:val="99"/>
    <w:rPr>
      <w:b/>
      <w:bCs/>
      <w:sz w:val="28"/>
      <w:szCs w:val="28"/>
    </w:rPr>
  </w:style>
  <w:style w:type="paragraph" w:customStyle="1" w:styleId="10">
    <w:name w:val="Обычный (веб)1"/>
    <w:basedOn w:val="Normal"/>
    <w:uiPriority w:val="99"/>
    <w:pPr>
      <w:spacing w:before="100" w:after="100"/>
    </w:pPr>
  </w:style>
  <w:style w:type="paragraph" w:styleId="NormalWeb">
    <w:name w:val="Normal (Web)"/>
    <w:basedOn w:val="Normal"/>
    <w:uiPriority w:val="99"/>
    <w:pPr>
      <w:spacing w:before="100" w:after="100"/>
    </w:pPr>
    <w:rPr>
      <w:color w:val="000000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customStyle="1" w:styleId="DefinitionTerm">
    <w:name w:val="Definition Term"/>
    <w:basedOn w:val="Normal"/>
    <w:next w:val="Normal"/>
    <w:uiPriority w:val="99"/>
    <w:pPr>
      <w:widowControl w:val="0"/>
    </w:pPr>
  </w:style>
  <w:style w:type="paragraph" w:customStyle="1" w:styleId="11">
    <w:name w:val="çàãîëîâîê 1"/>
    <w:basedOn w:val="Normal"/>
    <w:next w:val="Normal"/>
    <w:uiPriority w:val="99"/>
    <w:pPr>
      <w:keepNext/>
      <w:jc w:val="center"/>
    </w:pPr>
  </w:style>
  <w:style w:type="paragraph" w:customStyle="1" w:styleId="31">
    <w:name w:val="Основной текст 31"/>
    <w:basedOn w:val="Normal"/>
    <w:uiPriority w:val="99"/>
    <w:pPr>
      <w:jc w:val="center"/>
    </w:pPr>
    <w:rPr>
      <w:i/>
      <w:iCs/>
    </w:rPr>
  </w:style>
  <w:style w:type="paragraph" w:customStyle="1" w:styleId="21">
    <w:name w:val="Основной текст 21"/>
    <w:basedOn w:val="Normal"/>
    <w:uiPriority w:val="99"/>
    <w:pPr>
      <w:spacing w:before="120"/>
      <w:ind w:firstLine="720"/>
      <w:jc w:val="both"/>
    </w:pPr>
    <w:rPr>
      <w:sz w:val="28"/>
      <w:szCs w:val="28"/>
    </w:rPr>
  </w:style>
  <w:style w:type="paragraph" w:customStyle="1" w:styleId="caaieiaie1">
    <w:name w:val="caaieiaie 1"/>
    <w:basedOn w:val="Normal"/>
    <w:next w:val="Normal"/>
    <w:uiPriority w:val="99"/>
    <w:pPr>
      <w:keepNext/>
      <w:jc w:val="center"/>
    </w:pPr>
  </w:style>
  <w:style w:type="paragraph" w:customStyle="1" w:styleId="310">
    <w:name w:val="Основной текст с отступом 31"/>
    <w:basedOn w:val="Normal"/>
    <w:uiPriority w:val="99"/>
    <w:pPr>
      <w:ind w:left="80"/>
    </w:pPr>
    <w:rPr>
      <w:sz w:val="28"/>
      <w:szCs w:val="28"/>
    </w:rPr>
  </w:style>
  <w:style w:type="paragraph" w:customStyle="1" w:styleId="H1">
    <w:name w:val="H1"/>
    <w:basedOn w:val="Normal"/>
    <w:next w:val="Normal"/>
    <w:uiPriority w:val="99"/>
    <w:pPr>
      <w:keepNext/>
      <w:widowControl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57EB"/>
    <w:rPr>
      <w:rFonts w:ascii="Courier New" w:hAnsi="Courier New" w:cs="Courier New"/>
      <w:sz w:val="20"/>
      <w:szCs w:val="20"/>
    </w:rPr>
  </w:style>
  <w:style w:type="character" w:customStyle="1" w:styleId="CITE">
    <w:name w:val="CITE"/>
    <w:uiPriority w:val="99"/>
    <w:rPr>
      <w:i/>
      <w:iCs/>
    </w:rPr>
  </w:style>
  <w:style w:type="paragraph" w:customStyle="1" w:styleId="210">
    <w:name w:val="Основной текст с отступом 21"/>
    <w:basedOn w:val="Normal"/>
    <w:uiPriority w:val="99"/>
    <w:pPr>
      <w:ind w:firstLine="567"/>
      <w:jc w:val="both"/>
    </w:pPr>
    <w:rPr>
      <w:i/>
      <w:iCs/>
      <w:sz w:val="28"/>
      <w:szCs w:val="28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211"/>
    <w:basedOn w:val="Normal"/>
    <w:uiPriority w:val="99"/>
    <w:pPr>
      <w:spacing w:before="120"/>
      <w:ind w:firstLine="720"/>
      <w:jc w:val="both"/>
    </w:pPr>
    <w:rPr>
      <w:sz w:val="28"/>
      <w:szCs w:val="28"/>
    </w:rPr>
  </w:style>
  <w:style w:type="paragraph" w:customStyle="1" w:styleId="H5">
    <w:name w:val="H5"/>
    <w:basedOn w:val="Normal"/>
    <w:next w:val="Normal"/>
    <w:uiPriority w:val="99"/>
    <w:pPr>
      <w:keepNext/>
      <w:widowControl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z-BottomofForm1">
    <w:name w:val="z-Bottom of Form1"/>
    <w:next w:val="Normal"/>
    <w:hidden/>
    <w:uiPriority w:val="99"/>
    <w:pPr>
      <w:widowControl w:val="0"/>
      <w:pBdr>
        <w:top w:val="double" w:sz="2" w:space="0" w:color="000000"/>
      </w:pBdr>
      <w:autoSpaceDE w:val="0"/>
      <w:autoSpaceDN w:val="0"/>
      <w:jc w:val="center"/>
    </w:pPr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7EB"/>
    <w:rPr>
      <w:rFonts w:ascii="Times New Roman" w:hAnsi="Times New Roman" w:cs="Times New Roman"/>
      <w:sz w:val="24"/>
      <w:szCs w:val="24"/>
    </w:rPr>
  </w:style>
  <w:style w:type="character" w:customStyle="1" w:styleId="12">
    <w:name w:val="Знак Знак1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7EB"/>
    <w:rPr>
      <w:rFonts w:ascii="Times New Roman" w:hAnsi="Times New Roman" w:cs="Times New Roman"/>
      <w:sz w:val="0"/>
      <w:szCs w:val="0"/>
    </w:rPr>
  </w:style>
  <w:style w:type="character" w:customStyle="1" w:styleId="a">
    <w:name w:val="Знак Знак"/>
    <w:uiPriority w:val="99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Normal"/>
    <w:uiPriority w:val="99"/>
    <w:pPr>
      <w:spacing w:before="100" w:after="100"/>
    </w:pPr>
  </w:style>
  <w:style w:type="paragraph" w:customStyle="1" w:styleId="WW-1">
    <w:name w:val="WW-Обычный (веб)1"/>
    <w:basedOn w:val="Normal"/>
    <w:uiPriority w:val="99"/>
    <w:pPr>
      <w:spacing w:before="100" w:after="100"/>
    </w:pPr>
  </w:style>
  <w:style w:type="paragraph" w:customStyle="1" w:styleId="22">
    <w:name w:val="Основной текст 22"/>
    <w:basedOn w:val="Normal"/>
    <w:uiPriority w:val="99"/>
    <w:pPr>
      <w:spacing w:before="120"/>
      <w:ind w:firstLine="720"/>
      <w:jc w:val="both"/>
    </w:pPr>
    <w:rPr>
      <w:rFonts w:ascii="Calibri" w:hAnsi="Calibri" w:cs="Calibri"/>
      <w:sz w:val="28"/>
      <w:szCs w:val="28"/>
    </w:rPr>
  </w:style>
  <w:style w:type="paragraph" w:customStyle="1" w:styleId="BodyText21">
    <w:name w:val="Body Text 21"/>
    <w:basedOn w:val="Normal"/>
    <w:uiPriority w:val="99"/>
    <w:pPr>
      <w:spacing w:before="12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DefaultParagraphFont"/>
    <w:uiPriority w:val="99"/>
    <w:rPr>
      <w:sz w:val="24"/>
      <w:szCs w:val="24"/>
      <w:lang w:val="en-US"/>
    </w:rPr>
  </w:style>
  <w:style w:type="character" w:customStyle="1" w:styleId="a0">
    <w:name w:val="Основной текст Знак"/>
    <w:basedOn w:val="DefaultParagraphFont"/>
    <w:uiPriority w:val="99"/>
    <w:rPr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single" w:sz="6" w:space="1" w:color="auto"/>
      </w:pBdr>
      <w:spacing w:before="120"/>
      <w:ind w:firstLine="720"/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57E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single" w:sz="6" w:space="1" w:color="auto"/>
      </w:pBdr>
      <w:spacing w:before="120"/>
      <w:ind w:firstLine="720"/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57EB"/>
    <w:rPr>
      <w:rFonts w:ascii="Arial" w:hAnsi="Arial" w:cs="Arial"/>
      <w:vanish/>
      <w:sz w:val="16"/>
      <w:szCs w:val="16"/>
    </w:rPr>
  </w:style>
  <w:style w:type="character" w:customStyle="1" w:styleId="60">
    <w:name w:val="Заголовок 6 Знак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7">
    <w:name w:val="Заголовок 7 Знак"/>
    <w:basedOn w:val="DefaultParagraphFont"/>
    <w:uiPriority w:val="99"/>
    <w:rPr>
      <w:rFonts w:ascii="Times New Roman CYR" w:hAnsi="Times New Roman CYR" w:cs="Times New Roman CYR"/>
      <w:i/>
      <w:iCs/>
      <w:sz w:val="24"/>
      <w:szCs w:val="24"/>
    </w:rPr>
  </w:style>
  <w:style w:type="character" w:customStyle="1" w:styleId="9">
    <w:name w:val="Заголовок 9 Знак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a1">
    <w:name w:val="Текст Знак"/>
    <w:basedOn w:val="DefaultParagraphFont"/>
    <w:uiPriority w:val="99"/>
    <w:rPr>
      <w:rFonts w:ascii="Courier New" w:hAnsi="Courier New" w:cs="Courier New"/>
    </w:rPr>
  </w:style>
  <w:style w:type="character" w:customStyle="1" w:styleId="a2">
    <w:name w:val="Нижний колонтитул Знак"/>
    <w:basedOn w:val="DefaultParagraphFont"/>
    <w:uiPriority w:val="99"/>
    <w:rPr>
      <w:sz w:val="24"/>
      <w:szCs w:val="24"/>
    </w:rPr>
  </w:style>
  <w:style w:type="character" w:customStyle="1" w:styleId="a3">
    <w:name w:val="Текст выноски Знак"/>
    <w:basedOn w:val="DefaultParagraphFont"/>
    <w:uiPriority w:val="9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Normal"/>
    <w:uiPriority w:val="99"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2637</Words>
  <Characters>15031</Characters>
  <Application>Microsoft Office Outlook</Application>
  <DocSecurity>0</DocSecurity>
  <Lines>0</Lines>
  <Paragraphs>0</Paragraphs>
  <ScaleCrop>false</ScaleCrop>
  <Company>GosAlcRT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государственного контроля в сфере производства и оборота этилового спирта и алкогольной продукции, прин</dc:title>
  <dc:subject/>
  <dc:creator>slilia</dc:creator>
  <cp:keywords/>
  <dc:description/>
  <cp:lastModifiedBy>Алсу</cp:lastModifiedBy>
  <cp:revision>2</cp:revision>
  <cp:lastPrinted>2013-01-23T06:04:00Z</cp:lastPrinted>
  <dcterms:created xsi:type="dcterms:W3CDTF">2014-03-18T13:23:00Z</dcterms:created>
  <dcterms:modified xsi:type="dcterms:W3CDTF">2014-03-18T13:23:00Z</dcterms:modified>
</cp:coreProperties>
</file>