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B1" w:rsidRDefault="003420B1">
      <w:pPr>
        <w:pStyle w:val="NormalWeb"/>
        <w:spacing w:before="0" w:after="0"/>
        <w:jc w:val="both"/>
        <w:rPr>
          <w:i/>
          <w:iCs/>
          <w:sz w:val="28"/>
          <w:szCs w:val="28"/>
        </w:rPr>
      </w:pPr>
    </w:p>
    <w:p w:rsidR="003420B1" w:rsidRDefault="003420B1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3420B1" w:rsidRDefault="003420B1">
      <w:pPr>
        <w:pStyle w:val="BodyTextIndent"/>
        <w:ind w:firstLine="540"/>
        <w:rPr>
          <w:sz w:val="28"/>
          <w:szCs w:val="28"/>
        </w:rPr>
      </w:pPr>
    </w:p>
    <w:p w:rsidR="003420B1" w:rsidRDefault="003420B1">
      <w:pPr>
        <w:pStyle w:val="BodyText2"/>
        <w:ind w:firstLine="902"/>
      </w:pPr>
      <w:r>
        <w:t>В январе - октябре 2014 года проинспектировано продукции производства предприятий-изготовителей Республики Татарстан:</w:t>
      </w:r>
    </w:p>
    <w:p w:rsidR="003420B1" w:rsidRDefault="003420B1">
      <w:pPr>
        <w:pStyle w:val="BodyText2"/>
        <w:ind w:firstLine="902"/>
      </w:pPr>
      <w:r>
        <w:t xml:space="preserve">115,1 тыс. дал этилового спирта; </w:t>
      </w:r>
    </w:p>
    <w:p w:rsidR="003420B1" w:rsidRDefault="003420B1">
      <w:pPr>
        <w:pStyle w:val="BodyText2"/>
        <w:ind w:firstLine="902"/>
      </w:pPr>
      <w:r>
        <w:t>190,5 тыс. дал алкогольных изделий 235 наименований (в октябре – 30,6 тыс. дал 39 наименований), в том числе разливаемых по лицензионным договорам.</w:t>
      </w:r>
    </w:p>
    <w:p w:rsidR="003420B1" w:rsidRDefault="003420B1">
      <w:pPr>
        <w:pStyle w:val="BodyText2"/>
        <w:ind w:firstLine="902"/>
      </w:pPr>
      <w:r>
        <w:t>Кроме того, в январе - октябре 2014 года проинспектировано 1224,9 тыс. дал ввезенного из-за пределов республики спиртосодержащего сырья для производства алкогольной продукции:</w:t>
      </w:r>
    </w:p>
    <w:p w:rsidR="003420B1" w:rsidRDefault="003420B1">
      <w:pPr>
        <w:pStyle w:val="BodyText2"/>
        <w:ind w:firstLine="902"/>
      </w:pPr>
      <w:r>
        <w:t>86,1 тыс. дал виноматериалов, ввезенных филиалом ОАО “Татспиртпром” “Винзавод “Казанский”;</w:t>
      </w:r>
    </w:p>
    <w:p w:rsidR="003420B1" w:rsidRDefault="003420B1">
      <w:pPr>
        <w:pStyle w:val="BodyText2"/>
        <w:ind w:firstLine="902"/>
      </w:pPr>
      <w:r>
        <w:t xml:space="preserve">1138,8 тыс. дал спирта (в октябре – 228,2 тыс. дал), ввезенного филиалами ОАО “Татспиртпром” “Казанский ЛВЗ”, “Чистопольский ЛВЗ”, “Нижнекамский ЛВЗ” и “Усадский ЛВЗ” из Тульской области (ООО “Зернопродукт”, ООО “Эталон”, ООО “Абсолют”), Республики Северная Осетия-Алания (ООО “АльянсСпирт”, ООО “Миранда”, ООО “Престиж”, ООО “ДДД”), Кабардино-Балкарской Республики (ООО “РИАЛ”) и Ставропольского края (ООО “Казачье”). </w:t>
      </w:r>
    </w:p>
    <w:p w:rsidR="003420B1" w:rsidRDefault="003420B1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 - октябре 2014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3420B1" w:rsidRDefault="003420B1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2110,6 тыс. дал ввезенной алкогольной продукции 4916 наименований, в том числе 262,8 тыс. дал водки 194 наименований.</w:t>
      </w:r>
    </w:p>
    <w:p w:rsidR="003420B1" w:rsidRDefault="003420B1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48,6 тыс. дал или 2,3 % проверенной ввезенной алкогольной продукции.</w:t>
      </w:r>
    </w:p>
    <w:p w:rsidR="003420B1" w:rsidRDefault="003420B1">
      <w:pPr>
        <w:pStyle w:val="caaieiaie1"/>
        <w:keepNex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Принято на проверку 2629 заявок (21119 партий) ввезенной алкогольной продукции, что на 1% меньше, чем за аналогичный период прошлого года (2651 заявка, 22226 партий). Забраковано 648 партий, что составило 3,2% от количества проверенных партий (за аналогичный период прошлого года – 780 партий, что составило 3,8%).</w:t>
      </w:r>
    </w:p>
    <w:p w:rsidR="003420B1" w:rsidRDefault="003420B1">
      <w:pPr>
        <w:pStyle w:val="caaieiaie1"/>
        <w:keepNex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 начала 2014 года испытательной лабораторией государственного бюджетного учреждения “Республиканский центр независимой экспертизы и мониторинга потребительского рынка”, подведомственного Госалкогольинспекции Республики Татарстан проведены испытания 15108 образцов этилового спирта, алкогольной и спиртосодержащей продукции (в том числе в октябре – 2147 образцов), а также 114 образцов питьевой воды (в том числе в октябре – 12 образцов). </w:t>
      </w:r>
    </w:p>
    <w:p w:rsidR="003420B1" w:rsidRDefault="003420B1">
      <w:pPr>
        <w:jc w:val="both"/>
      </w:pPr>
    </w:p>
    <w:p w:rsidR="003420B1" w:rsidRDefault="003420B1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0B1" w:rsidRDefault="003420B1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3420B1" w:rsidRDefault="003420B1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3420B1" w:rsidRDefault="003420B1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октябре 2014 года Госалкогольинспекцией Республики Татарстан и ее территориальными органами проведены 2866 проверок и расследований, в том числе в сфере оборота алкогольной и спиртосодержащей продукции - 1665. </w:t>
      </w:r>
    </w:p>
    <w:p w:rsidR="003420B1" w:rsidRDefault="003420B1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проведено 951 мероприятие по контролю, в том числе с МВД по Республике Татарстан - 781, Управлением Роспотребнадзора по Республике Татарстан  - 17, органами Прокуратуры Республики Татарстан - 144, другими органами - 9.</w:t>
      </w:r>
    </w:p>
    <w:p w:rsidR="003420B1" w:rsidRDefault="003420B1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2137 хозяйствующих субъектах (в том числе в сфере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оборота алкогольной и спиртосодержащей продукции – в 1428). По сравнению с аналогичным периодом 2013 года количество субъектов, у которых выявлены нарушения действующего законодательства, снизилось на 0,7 %.</w:t>
      </w:r>
    </w:p>
    <w:p w:rsidR="003420B1" w:rsidRDefault="003420B1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Всего выявлено 2694 нарушения (в том числе в ходе контроля за оборотом алкогольной и спиртосодержащей продукции – 1592).</w:t>
      </w:r>
    </w:p>
    <w:p w:rsidR="003420B1" w:rsidRDefault="003420B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10 месяцев 2014 года (по сравнению с аналогичным периодом 2013 г.) количество установленных фактов реализации алкогольной продукции без соответствующей лицензии увеличилось на 25,3 % (183 факта – в 2014 году, 146 фактов – в  2013 году).</w:t>
      </w:r>
    </w:p>
    <w:p w:rsidR="003420B1" w:rsidRDefault="003420B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По-прежнему, остается высоким выявление фактов реализации немаркированной алкогольной продукции или маркированной поддельными федеральными или акцизными специальными марками либо марками с признаками подделки (194 факта - в 2014 году, 48 фактов – в 2013 году). В основном это связано с пресечением фактов перевозки и реализации алкогольной продукции казахстанского производства. </w:t>
      </w:r>
    </w:p>
    <w:p w:rsidR="003420B1" w:rsidRDefault="003420B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выявленных фактов реализации продукции с истекшим сроком годности снизилось на 8,0% и составило 529 фактов (575 фактов – в 2013 году), сумма утилизированной продукции составила порядка 1,5 млн. руб. </w:t>
      </w:r>
    </w:p>
    <w:p w:rsidR="003420B1" w:rsidRDefault="003420B1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установленных фактов продажи продукции, запрещенной к реализации несовершеннолетним, снизилось в 2,6 раза (28 фактов – за 10 месяцев 2014 года, 74 факта – за 10 месяцев 2013 года): в том числе, фактов реализации алкоголя и пива несовершеннолетним – в 1,8 раза (соответственно 24 факта и 44 факта), табачных изделий – в 7,5 раза. </w:t>
      </w:r>
    </w:p>
    <w:p w:rsidR="003420B1" w:rsidRDefault="003420B1">
      <w:pPr>
        <w:pStyle w:val="a2"/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Выявлены 287 фактов реализации гражданами спиртосодержащей продукции из частных домовладений (что на 71,8 % больше, чем за аналогичный период 2013 года). </w:t>
      </w:r>
    </w:p>
    <w:p w:rsidR="003420B1" w:rsidRDefault="003420B1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октябре 2014 года мониторинг проведен в 3993 торговых объектах, нарушения ограничения времени продажи алкогольной продукции выявлены в 498 из них. </w:t>
      </w:r>
    </w:p>
    <w:p w:rsidR="003420B1" w:rsidRDefault="003420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3420B1" w:rsidRDefault="003420B1">
      <w:pPr>
        <w:ind w:right="-5" w:firstLine="708"/>
        <w:jc w:val="both"/>
        <w:rPr>
          <w:sz w:val="26"/>
          <w:szCs w:val="26"/>
        </w:rPr>
      </w:pPr>
    </w:p>
    <w:p w:rsidR="003420B1" w:rsidRDefault="003420B1">
      <w:pPr>
        <w:pStyle w:val="Heading3"/>
        <w:jc w:val="both"/>
        <w:rPr>
          <w:b w:val="0"/>
          <w:bCs w:val="0"/>
          <w:sz w:val="28"/>
          <w:szCs w:val="28"/>
        </w:rPr>
      </w:pPr>
    </w:p>
    <w:p w:rsidR="003420B1" w:rsidRDefault="003420B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3420B1" w:rsidRDefault="003420B1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3420B1" w:rsidRDefault="003420B1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1808 дел, в том числе по нарушениям в области производства и оборота алкогольной и спиртосодержащей продукции – 1176. </w:t>
      </w:r>
    </w:p>
    <w:p w:rsidR="003420B1" w:rsidRDefault="003420B1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1846 делам, в том числе о нарушениях в области производства и оборота алкогольной и спиртосодержащей продукции – 1194.</w:t>
      </w:r>
    </w:p>
    <w:p w:rsidR="003420B1" w:rsidRDefault="003420B1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10441,8  тыс. рублей, в том числе за нарушения в области производства и оборота алкогольной и спиртосодержащей продукции – 9397,7 тыс. рублей. </w:t>
      </w:r>
    </w:p>
    <w:p w:rsidR="003420B1" w:rsidRDefault="003420B1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2014 года поступило на рассмотрение 279 дел об административных правонарушениях по КоАП РТ. По поступившим материалам вынесено 299 решений, наложено штрафов на сумму 875,5 тыс. рублей. </w:t>
      </w:r>
    </w:p>
    <w:p w:rsidR="003420B1" w:rsidRDefault="003420B1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в Госалкогольинспекцию РТ в 2014 году поступило 369 материалов на рассмотрение в соответствии с КоАП РФ, по которым вынесено 250 постановлений и наложено штрафов на сумму 3568,5 тыс. рублей.</w:t>
      </w:r>
    </w:p>
    <w:p w:rsidR="003420B1" w:rsidRDefault="003420B1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всего изъято, конфисковано и обращено в собственность государства более 61 тыс. литров алкогольной и спиртосодержащей продукции. </w:t>
      </w:r>
    </w:p>
    <w:p w:rsidR="003420B1" w:rsidRDefault="003420B1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порядка 1,5 млн. рублей, которая утилизирована в установленном порядке.</w:t>
      </w:r>
    </w:p>
    <w:p w:rsidR="003420B1" w:rsidRDefault="003420B1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3420B1" w:rsidRDefault="003420B1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3420B1" w:rsidRDefault="003420B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3420B1" w:rsidRDefault="003420B1">
      <w:pPr>
        <w:ind w:firstLine="709"/>
        <w:jc w:val="both"/>
        <w:rPr>
          <w:i/>
          <w:iCs/>
          <w:sz w:val="28"/>
          <w:szCs w:val="28"/>
        </w:rPr>
      </w:pPr>
    </w:p>
    <w:p w:rsidR="003420B1" w:rsidRDefault="003420B1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3420B1" w:rsidRDefault="003420B1">
      <w:pPr>
        <w:pStyle w:val="BodyText21"/>
        <w:spacing w:before="0"/>
        <w:ind w:firstLine="567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В целях </w:t>
      </w:r>
      <w:r>
        <w:rPr>
          <w:color w:val="000000"/>
        </w:rPr>
        <w:t>информирования населения о потребительских свойствах мясных консервов, реализуемых на потребительском рынке республики, привития навыков грамотного выбора в пользу качественных и безопасных товаров 10 октября 2014 года</w:t>
      </w:r>
      <w:r>
        <w:rPr>
          <w:rFonts w:eastAsia="Arial Unicode MS"/>
          <w:color w:val="000000"/>
        </w:rPr>
        <w:t xml:space="preserve"> в Госалкогольинспекции Республики Татарстан проведена потребительская дегустация мясных консервов. В ходе дегустации оценено качество 15 наименований продукции. По выявленным в ходе лабораторных исследований нарушениям материалы направлены в Управление Роспотребнадзора по Республике Татарстан для принятия мер административного воздействия.</w:t>
      </w:r>
    </w:p>
    <w:p w:rsidR="003420B1" w:rsidRDefault="003420B1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Выпущен очередной номер газеты “</w:t>
      </w:r>
      <w:r>
        <w:rPr>
          <w:sz w:val="28"/>
          <w:szCs w:val="28"/>
          <w:lang w:val="en-US"/>
        </w:rPr>
        <w:t>PULSE</w:t>
      </w:r>
      <w:r>
        <w:rPr>
          <w:sz w:val="28"/>
          <w:szCs w:val="28"/>
        </w:rPr>
        <w:t xml:space="preserve">” Полезная газета для потребителя” тиражом 30 тысяч экземпляров; </w:t>
      </w:r>
      <w:r>
        <w:rPr>
          <w:rFonts w:eastAsia="Arial Unicode MS"/>
          <w:sz w:val="28"/>
          <w:szCs w:val="28"/>
        </w:rPr>
        <w:t>подготовлена и распространена потребителям “Памятка для покупателя обуви” в количестве пять тысяч экземпляров. Всего за 10 месяцев 2014 года издано  9  памяток для потребителей на актуальные темы, связанные с потребительским законодательством общим тиражом 45 тысяч экземпляров.</w:t>
      </w:r>
    </w:p>
    <w:p w:rsidR="003420B1" w:rsidRDefault="003420B1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январь-октябрь 2014 года проведено 937 приемов граждан (в т.ч. в октябре - 90). О</w:t>
      </w:r>
      <w:r>
        <w:rPr>
          <w:sz w:val="28"/>
          <w:szCs w:val="28"/>
        </w:rPr>
        <w:t xml:space="preserve">существлено 14 приемов руководством Госалкогольинспекции Республики Татарстан, в ходе которых  принято 63 человека.  </w:t>
      </w:r>
    </w:p>
    <w:p w:rsidR="003420B1" w:rsidRDefault="003420B1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2466 мероприятий, направленных на повышение потребительской грамотности населения (в т.ч. в октябре - 246), а также 1331 мероприятие для хозяйствующих субъектов (в т.ч. в октябре – 116). Опубликовано 2729 материалов  в средствах массовой информации (в т.ч. в октябре - 215).  </w:t>
      </w:r>
    </w:p>
    <w:p w:rsidR="003420B1" w:rsidRDefault="003420B1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Состоялся 2 этап республиканской олимпиады для учащихся средних учебных заведений по теме “Защита прав потребителей”, по итогам которого на третий, заключительный  тур прошло 37 человек. </w:t>
      </w:r>
    </w:p>
    <w:p w:rsidR="003420B1" w:rsidRDefault="003420B1">
      <w:pPr>
        <w:pStyle w:val="210"/>
        <w:spacing w:before="0"/>
        <w:ind w:firstLine="540"/>
      </w:pPr>
      <w:r>
        <w:t xml:space="preserve">Рассмотрено 18592 </w:t>
      </w:r>
      <w:r>
        <w:rPr>
          <w:rFonts w:eastAsia="Arial Unicode MS"/>
        </w:rPr>
        <w:t>обращения граждан (из них в октябре - 1890),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в том числе 84% - в сфере торговли; 10,8% – бытовых услуг; 1,2% – жилищно-коммунальных услуг; 4% – прочих услуг.</w:t>
      </w:r>
      <w:r>
        <w:t xml:space="preserve"> 90,2% обращений решено в пользу потребителей в досудебном порядке.</w:t>
      </w:r>
    </w:p>
    <w:p w:rsidR="003420B1" w:rsidRDefault="003420B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820 претензий </w:t>
      </w:r>
      <w:r>
        <w:rPr>
          <w:rFonts w:eastAsia="Arial Unicode MS"/>
          <w:sz w:val="28"/>
          <w:szCs w:val="28"/>
        </w:rPr>
        <w:t>(в т.ч. в октябре - 96)</w:t>
      </w:r>
      <w:r>
        <w:rPr>
          <w:sz w:val="28"/>
          <w:szCs w:val="28"/>
        </w:rPr>
        <w:t xml:space="preserve">, 206 проектов исковых заявлений </w:t>
      </w:r>
      <w:r>
        <w:rPr>
          <w:rFonts w:eastAsia="Arial Unicode MS"/>
          <w:sz w:val="28"/>
          <w:szCs w:val="28"/>
        </w:rPr>
        <w:t>(в т.ч. в октябре -  22)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3921,12 тыс. рублей </w:t>
      </w:r>
      <w:r>
        <w:rPr>
          <w:rFonts w:eastAsia="Arial Unicode MS"/>
          <w:sz w:val="28"/>
          <w:szCs w:val="28"/>
        </w:rPr>
        <w:t>(в т.ч. в октябре – 49,52 тыс. руб.)</w:t>
      </w:r>
      <w:r>
        <w:rPr>
          <w:sz w:val="28"/>
          <w:szCs w:val="28"/>
        </w:rPr>
        <w:t xml:space="preserve">. </w:t>
      </w:r>
    </w:p>
    <w:p w:rsidR="003420B1" w:rsidRDefault="003420B1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165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октябре - 5)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10 месяцев 2014 года иски 48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октябре - 6)</w:t>
      </w:r>
      <w:r>
        <w:rPr>
          <w:sz w:val="28"/>
          <w:szCs w:val="28"/>
        </w:rPr>
        <w:t xml:space="preserve"> на сумму  3741,7 тыс.рублей </w:t>
      </w:r>
      <w:r>
        <w:rPr>
          <w:rFonts w:eastAsia="Arial Unicode MS"/>
          <w:sz w:val="28"/>
          <w:szCs w:val="28"/>
        </w:rPr>
        <w:t>(в т.ч. в октябре – 163,1 тыс.руб.).</w:t>
      </w:r>
    </w:p>
    <w:p w:rsidR="003420B1" w:rsidRDefault="003420B1">
      <w:pPr>
        <w:pStyle w:val="BodyText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граждан (в разрезе районов) за январь-октябрь 2014 г. прилагаются. </w:t>
      </w:r>
    </w:p>
    <w:p w:rsidR="003420B1" w:rsidRDefault="003420B1">
      <w:pPr>
        <w:pStyle w:val="BodyText"/>
        <w:ind w:firstLine="540"/>
        <w:rPr>
          <w:b/>
          <w:bCs/>
          <w:i/>
          <w:iCs/>
          <w:sz w:val="28"/>
          <w:szCs w:val="28"/>
        </w:rPr>
      </w:pPr>
    </w:p>
    <w:p w:rsidR="003420B1" w:rsidRDefault="003420B1">
      <w:pPr>
        <w:ind w:firstLine="540"/>
        <w:jc w:val="both"/>
        <w:rPr>
          <w:sz w:val="28"/>
          <w:szCs w:val="28"/>
        </w:rPr>
      </w:pPr>
    </w:p>
    <w:sectPr w:rsidR="003420B1" w:rsidSect="003420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B1" w:rsidRDefault="003420B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420B1" w:rsidRDefault="003420B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B1" w:rsidRDefault="003420B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420B1" w:rsidRDefault="003420B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B1" w:rsidRDefault="003420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420B1" w:rsidRDefault="003420B1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2B0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442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16847"/>
    <w:multiLevelType w:val="multilevel"/>
    <w:tmpl w:val="0F5C87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0">
    <w:nsid w:val="1F9F4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23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3C3E55C2"/>
    <w:multiLevelType w:val="multilevel"/>
    <w:tmpl w:val="2C6226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1F1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B94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2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EB86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8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50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1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7"/>
  </w:num>
  <w:num w:numId="2">
    <w:abstractNumId w:val="41"/>
  </w:num>
  <w:num w:numId="3">
    <w:abstractNumId w:val="18"/>
  </w:num>
  <w:num w:numId="4">
    <w:abstractNumId w:val="10"/>
  </w:num>
  <w:num w:numId="5">
    <w:abstractNumId w:val="44"/>
  </w:num>
  <w:num w:numId="6">
    <w:abstractNumId w:val="15"/>
  </w:num>
  <w:num w:numId="7">
    <w:abstractNumId w:val="10"/>
  </w:num>
  <w:num w:numId="8">
    <w:abstractNumId w:val="28"/>
  </w:num>
  <w:num w:numId="9">
    <w:abstractNumId w:val="33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7"/>
  </w:num>
  <w:num w:numId="12">
    <w:abstractNumId w:val="51"/>
  </w:num>
  <w:num w:numId="13">
    <w:abstractNumId w:val="30"/>
  </w:num>
  <w:num w:numId="14">
    <w:abstractNumId w:val="31"/>
  </w:num>
  <w:num w:numId="15">
    <w:abstractNumId w:val="21"/>
  </w:num>
  <w:num w:numId="16">
    <w:abstractNumId w:val="11"/>
  </w:num>
  <w:num w:numId="17">
    <w:abstractNumId w:val="23"/>
  </w:num>
  <w:num w:numId="18">
    <w:abstractNumId w:val="48"/>
  </w:num>
  <w:num w:numId="19">
    <w:abstractNumId w:val="25"/>
  </w:num>
  <w:num w:numId="20">
    <w:abstractNumId w:val="24"/>
  </w:num>
  <w:num w:numId="21">
    <w:abstractNumId w:val="50"/>
  </w:num>
  <w:num w:numId="22">
    <w:abstractNumId w:val="43"/>
  </w:num>
  <w:num w:numId="23">
    <w:abstractNumId w:val="14"/>
  </w:num>
  <w:num w:numId="24">
    <w:abstractNumId w:val="16"/>
  </w:num>
  <w:num w:numId="25">
    <w:abstractNumId w:val="34"/>
  </w:num>
  <w:num w:numId="26">
    <w:abstractNumId w:val="38"/>
  </w:num>
  <w:num w:numId="27">
    <w:abstractNumId w:val="40"/>
  </w:num>
  <w:num w:numId="28">
    <w:abstractNumId w:val="47"/>
  </w:num>
  <w:num w:numId="29">
    <w:abstractNumId w:val="32"/>
  </w:num>
  <w:num w:numId="30">
    <w:abstractNumId w:val="36"/>
  </w:num>
  <w:num w:numId="31">
    <w:abstractNumId w:val="49"/>
  </w:num>
  <w:num w:numId="32">
    <w:abstractNumId w:val="26"/>
  </w:num>
  <w:num w:numId="33">
    <w:abstractNumId w:val="19"/>
  </w:num>
  <w:num w:numId="34">
    <w:abstractNumId w:val="42"/>
  </w:num>
  <w:num w:numId="35">
    <w:abstractNumId w:val="22"/>
  </w:num>
  <w:num w:numId="36">
    <w:abstractNumId w:val="45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0"/>
  </w:num>
  <w:num w:numId="50">
    <w:abstractNumId w:val="12"/>
  </w:num>
  <w:num w:numId="51">
    <w:abstractNumId w:val="39"/>
  </w:num>
  <w:num w:numId="52">
    <w:abstractNumId w:val="46"/>
  </w:num>
  <w:num w:numId="53">
    <w:abstractNumId w:val="13"/>
  </w:num>
  <w:num w:numId="54">
    <w:abstractNumId w:val="35"/>
  </w:num>
  <w:num w:numId="55">
    <w:abstractNumId w:val="29"/>
  </w:num>
  <w:num w:numId="5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0B1"/>
    <w:rsid w:val="003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uiPriority w:val="99"/>
    <w:rPr>
      <w:sz w:val="24"/>
      <w:szCs w:val="24"/>
    </w:rPr>
  </w:style>
  <w:style w:type="paragraph" w:customStyle="1" w:styleId="BodyText21">
    <w:name w:val="Body Text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rPr>
      <w:sz w:val="24"/>
      <w:szCs w:val="24"/>
      <w:lang w:val="en-US"/>
    </w:rPr>
  </w:style>
  <w:style w:type="character" w:customStyle="1" w:styleId="3">
    <w:name w:val="Знак Знак3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20">
    <w:name w:val="Знак Знак2"/>
    <w:uiPriority w:val="99"/>
    <w:rPr>
      <w:sz w:val="24"/>
      <w:szCs w:val="24"/>
    </w:rPr>
  </w:style>
  <w:style w:type="paragraph" w:customStyle="1" w:styleId="DefinitionTerm">
    <w:name w:val="Definition Term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H5">
    <w:name w:val="H5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uiPriority w:val="99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aaieiaie1">
    <w:name w:val="caaieiaie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Знак Знак"/>
    <w:uiPriority w:val="99"/>
    <w:rPr>
      <w:sz w:val="24"/>
      <w:szCs w:val="24"/>
      <w:lang w:val="en-US"/>
    </w:rPr>
  </w:style>
  <w:style w:type="paragraph" w:customStyle="1" w:styleId="BodyText211">
    <w:name w:val="Body Text 21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нак Знак1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заголовок 3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2">
    <w:name w:val="Обычный (веб)"/>
    <w:uiPriority w:val="99"/>
    <w:pPr>
      <w:autoSpaceDE w:val="0"/>
      <w:autoSpaceDN w:val="0"/>
      <w:spacing w:before="100" w:after="10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-">
    <w:name w:val="z-Начало формы"/>
    <w:hidden/>
    <w:uiPriority w:val="99"/>
    <w:pPr>
      <w:pBdr>
        <w:bottom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paragraph" w:customStyle="1" w:styleId="z-0">
    <w:name w:val="z-Конец формы"/>
    <w:hidden/>
    <w:uiPriority w:val="99"/>
    <w:pPr>
      <w:pBdr>
        <w:top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character" w:customStyle="1" w:styleId="4">
    <w:name w:val="Знак Знак4"/>
    <w:uiPriority w:val="99"/>
    <w:rPr>
      <w:sz w:val="24"/>
      <w:szCs w:val="24"/>
      <w:lang w:val="en-US"/>
    </w:rPr>
  </w:style>
  <w:style w:type="paragraph" w:customStyle="1" w:styleId="a3">
    <w:name w:val="Текст выноски"/>
    <w:uiPriority w:val="99"/>
    <w:pPr>
      <w:autoSpaceDE w:val="0"/>
      <w:autoSpaceDN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9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8">
    <w:name w:val="Заголовок 8 Знак"/>
    <w:uiPriority w:val="99"/>
    <w:rPr>
      <w:i/>
      <w:iCs/>
      <w:sz w:val="24"/>
      <w:szCs w:val="24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31">
    <w:name w:val="Основной текст с отступом 3 Знак"/>
    <w:uiPriority w:val="99"/>
    <w:rPr>
      <w:b/>
      <w:bCs/>
      <w:sz w:val="24"/>
      <w:szCs w:val="24"/>
    </w:rPr>
  </w:style>
  <w:style w:type="character" w:customStyle="1" w:styleId="5">
    <w:name w:val="Знак Знак5"/>
    <w:uiPriority w:val="99"/>
    <w:rPr>
      <w:sz w:val="24"/>
      <w:szCs w:val="24"/>
      <w:lang w:val="en-US"/>
    </w:rPr>
  </w:style>
  <w:style w:type="character" w:customStyle="1" w:styleId="6">
    <w:name w:val="Знак Знак6"/>
    <w:uiPriority w:val="99"/>
    <w:rPr>
      <w:sz w:val="24"/>
      <w:szCs w:val="24"/>
      <w:lang w:val="en-US"/>
    </w:rPr>
  </w:style>
  <w:style w:type="character" w:customStyle="1" w:styleId="9">
    <w:name w:val="Заголовок 9 Знак"/>
    <w:uiPriority w:val="99"/>
    <w:rPr>
      <w:b/>
      <w:bCs/>
      <w:i/>
      <w:iCs/>
      <w:sz w:val="22"/>
      <w:szCs w:val="22"/>
    </w:rPr>
  </w:style>
  <w:style w:type="character" w:customStyle="1" w:styleId="11">
    <w:name w:val="Заголовок 1 Знак"/>
    <w:uiPriority w:val="99"/>
    <w:rPr>
      <w:b/>
      <w:bCs/>
      <w:kern w:val="32"/>
      <w:sz w:val="32"/>
      <w:szCs w:val="32"/>
    </w:rPr>
  </w:style>
  <w:style w:type="paragraph" w:customStyle="1" w:styleId="12">
    <w:name w:val="заголовок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омер страницы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1422</Words>
  <Characters>8106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2014-09-15T12:17:00Z</cp:lastPrinted>
  <dcterms:created xsi:type="dcterms:W3CDTF">2014-12-12T10:22:00Z</dcterms:created>
  <dcterms:modified xsi:type="dcterms:W3CDTF">2014-12-12T10:22:00Z</dcterms:modified>
</cp:coreProperties>
</file>